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5B" w:rsidRPr="006E06A1" w:rsidRDefault="003E725B" w:rsidP="008535C1">
      <w:pPr>
        <w:spacing w:line="360" w:lineRule="auto"/>
        <w:jc w:val="both"/>
        <w:rPr>
          <w:rFonts w:ascii="Lucida Bright" w:hAnsi="Lucida Bright"/>
          <w:b/>
          <w:bCs/>
          <w:sz w:val="28"/>
          <w:szCs w:val="28"/>
        </w:rPr>
      </w:pPr>
      <w:r w:rsidRPr="006E06A1">
        <w:rPr>
          <w:rFonts w:ascii="Lucida Bright" w:hAnsi="Lucida Bright"/>
          <w:b/>
          <w:bCs/>
          <w:sz w:val="28"/>
          <w:szCs w:val="28"/>
        </w:rPr>
        <w:t>JUSTICIABILITY OF RIGHT TO HEALTH UNDER THE NIGERIAN LEGAL REGIME</w:t>
      </w:r>
    </w:p>
    <w:p w:rsidR="006B42B9" w:rsidRPr="006E06A1" w:rsidRDefault="006B42B9" w:rsidP="008535C1">
      <w:pPr>
        <w:spacing w:line="360" w:lineRule="auto"/>
        <w:jc w:val="both"/>
        <w:rPr>
          <w:rFonts w:ascii="Lucida Bright" w:hAnsi="Lucida Bright"/>
          <w:b/>
          <w:bCs/>
          <w:sz w:val="28"/>
          <w:szCs w:val="28"/>
        </w:rPr>
      </w:pPr>
      <w:r w:rsidRPr="006E06A1">
        <w:rPr>
          <w:rFonts w:ascii="Lucida Bright" w:hAnsi="Lucida Bright"/>
          <w:b/>
          <w:bCs/>
          <w:sz w:val="28"/>
          <w:szCs w:val="28"/>
        </w:rPr>
        <w:t xml:space="preserve">                                                BY</w:t>
      </w:r>
    </w:p>
    <w:p w:rsidR="006B42B9" w:rsidRPr="006E06A1" w:rsidRDefault="006B42B9" w:rsidP="008535C1">
      <w:pPr>
        <w:spacing w:line="360" w:lineRule="auto"/>
        <w:jc w:val="both"/>
        <w:rPr>
          <w:rFonts w:ascii="Lucida Bright" w:hAnsi="Lucida Bright"/>
          <w:b/>
          <w:bCs/>
          <w:sz w:val="28"/>
          <w:szCs w:val="28"/>
        </w:rPr>
      </w:pPr>
      <w:r w:rsidRPr="006E06A1">
        <w:rPr>
          <w:rFonts w:ascii="Lucida Bright" w:hAnsi="Lucida Bright"/>
          <w:b/>
          <w:bCs/>
          <w:sz w:val="28"/>
          <w:szCs w:val="28"/>
        </w:rPr>
        <w:t xml:space="preserve">   </w:t>
      </w:r>
      <w:r w:rsidRPr="006E06A1">
        <w:rPr>
          <w:rFonts w:ascii="Lucida Bright" w:hAnsi="Lucida Bright"/>
          <w:b/>
          <w:bCs/>
          <w:sz w:val="28"/>
          <w:szCs w:val="28"/>
        </w:rPr>
        <w:tab/>
      </w:r>
      <w:r w:rsidRPr="006E06A1">
        <w:rPr>
          <w:rFonts w:ascii="Lucida Bright" w:hAnsi="Lucida Bright"/>
          <w:b/>
          <w:bCs/>
          <w:sz w:val="28"/>
          <w:szCs w:val="28"/>
        </w:rPr>
        <w:tab/>
      </w:r>
      <w:r w:rsidRPr="006E06A1">
        <w:rPr>
          <w:rFonts w:ascii="Lucida Bright" w:hAnsi="Lucida Bright"/>
          <w:b/>
          <w:bCs/>
          <w:sz w:val="28"/>
          <w:szCs w:val="28"/>
        </w:rPr>
        <w:tab/>
        <w:t xml:space="preserve">Hon. Justice </w:t>
      </w:r>
      <w:proofErr w:type="spellStart"/>
      <w:r w:rsidRPr="006E06A1">
        <w:rPr>
          <w:rFonts w:ascii="Lucida Bright" w:hAnsi="Lucida Bright"/>
          <w:b/>
          <w:bCs/>
          <w:sz w:val="28"/>
          <w:szCs w:val="28"/>
        </w:rPr>
        <w:t>Auwal</w:t>
      </w:r>
      <w:proofErr w:type="spellEnd"/>
      <w:r w:rsidRPr="006E06A1">
        <w:rPr>
          <w:rFonts w:ascii="Lucida Bright" w:hAnsi="Lucida Bright"/>
          <w:b/>
          <w:bCs/>
          <w:sz w:val="28"/>
          <w:szCs w:val="28"/>
        </w:rPr>
        <w:t xml:space="preserve"> </w:t>
      </w:r>
      <w:proofErr w:type="spellStart"/>
      <w:r w:rsidRPr="006E06A1">
        <w:rPr>
          <w:rFonts w:ascii="Lucida Bright" w:hAnsi="Lucida Bright"/>
          <w:b/>
          <w:bCs/>
          <w:sz w:val="28"/>
          <w:szCs w:val="28"/>
        </w:rPr>
        <w:t>Yau</w:t>
      </w:r>
      <w:proofErr w:type="spellEnd"/>
      <w:r w:rsidRPr="006E06A1">
        <w:rPr>
          <w:rFonts w:ascii="Lucida Bright" w:hAnsi="Lucida Bright"/>
          <w:b/>
          <w:bCs/>
          <w:sz w:val="28"/>
          <w:szCs w:val="28"/>
        </w:rPr>
        <w:t>, APD, LL.M</w:t>
      </w:r>
      <w:r w:rsidRPr="006E06A1">
        <w:rPr>
          <w:rStyle w:val="FootnoteReference"/>
          <w:rFonts w:ascii="Lucida Bright" w:hAnsi="Lucida Bright"/>
          <w:b/>
          <w:bCs/>
          <w:sz w:val="28"/>
          <w:szCs w:val="28"/>
        </w:rPr>
        <w:footnoteReference w:id="1"/>
      </w:r>
    </w:p>
    <w:p w:rsidR="006B42B9" w:rsidRPr="006E06A1" w:rsidRDefault="006B42B9" w:rsidP="008535C1">
      <w:pPr>
        <w:spacing w:line="360" w:lineRule="auto"/>
        <w:jc w:val="both"/>
        <w:rPr>
          <w:rFonts w:ascii="Lucida Bright" w:hAnsi="Lucida Bright"/>
          <w:b/>
          <w:bCs/>
          <w:sz w:val="28"/>
          <w:szCs w:val="28"/>
        </w:rPr>
      </w:pPr>
      <w:bookmarkStart w:id="0" w:name="_GoBack"/>
      <w:bookmarkEnd w:id="0"/>
    </w:p>
    <w:p w:rsidR="006B42B9" w:rsidRPr="006E06A1" w:rsidRDefault="006B42B9" w:rsidP="008535C1">
      <w:pPr>
        <w:spacing w:line="360" w:lineRule="auto"/>
        <w:jc w:val="both"/>
        <w:rPr>
          <w:rFonts w:ascii="Lucida Bright" w:hAnsi="Lucida Bright"/>
          <w:b/>
          <w:bCs/>
          <w:sz w:val="28"/>
          <w:szCs w:val="28"/>
          <w:u w:val="single"/>
        </w:rPr>
      </w:pPr>
      <w:r w:rsidRPr="006E06A1">
        <w:rPr>
          <w:rFonts w:ascii="Lucida Bright" w:hAnsi="Lucida Bright"/>
          <w:b/>
          <w:bCs/>
          <w:sz w:val="28"/>
          <w:szCs w:val="28"/>
          <w:u w:val="single"/>
        </w:rPr>
        <w:t>Appreciation</w:t>
      </w:r>
    </w:p>
    <w:p w:rsidR="006B42B9" w:rsidRPr="006E06A1" w:rsidRDefault="006B42B9" w:rsidP="008535C1">
      <w:pPr>
        <w:spacing w:line="360" w:lineRule="auto"/>
        <w:jc w:val="both"/>
        <w:rPr>
          <w:rFonts w:ascii="Lucida Bright" w:hAnsi="Lucida Bright"/>
          <w:sz w:val="28"/>
          <w:szCs w:val="28"/>
        </w:rPr>
      </w:pPr>
      <w:r w:rsidRPr="006E06A1">
        <w:rPr>
          <w:rFonts w:ascii="Lucida Bright" w:hAnsi="Lucida Bright"/>
          <w:sz w:val="28"/>
          <w:szCs w:val="28"/>
        </w:rPr>
        <w:t xml:space="preserve">I wish to sincerely thank the Chairperson of </w:t>
      </w:r>
      <w:r w:rsidR="0028601B" w:rsidRPr="006E06A1">
        <w:rPr>
          <w:rFonts w:ascii="Lucida Bright" w:hAnsi="Lucida Bright"/>
          <w:sz w:val="28"/>
          <w:szCs w:val="28"/>
        </w:rPr>
        <w:t xml:space="preserve">International </w:t>
      </w:r>
      <w:r w:rsidRPr="006E06A1">
        <w:rPr>
          <w:rFonts w:ascii="Lucida Bright" w:hAnsi="Lucida Bright"/>
          <w:sz w:val="28"/>
          <w:szCs w:val="28"/>
        </w:rPr>
        <w:t>Federation of Women Lawyers (FIDA) Kano Branch and her team</w:t>
      </w:r>
      <w:r w:rsidR="0028601B" w:rsidRPr="006E06A1">
        <w:rPr>
          <w:rFonts w:ascii="Lucida Bright" w:hAnsi="Lucida Bright"/>
          <w:sz w:val="28"/>
          <w:szCs w:val="28"/>
        </w:rPr>
        <w:t>,</w:t>
      </w:r>
      <w:r w:rsidRPr="006E06A1">
        <w:rPr>
          <w:rFonts w:ascii="Lucida Bright" w:hAnsi="Lucida Bright"/>
          <w:sz w:val="28"/>
          <w:szCs w:val="28"/>
        </w:rPr>
        <w:t xml:space="preserve"> for inviting me to speak to the distinguished legal luminaries on </w:t>
      </w:r>
      <w:proofErr w:type="spellStart"/>
      <w:r w:rsidRPr="006E06A1">
        <w:rPr>
          <w:rFonts w:ascii="Lucida Bright" w:hAnsi="Lucida Bright"/>
          <w:sz w:val="28"/>
          <w:szCs w:val="28"/>
        </w:rPr>
        <w:t>justiciability</w:t>
      </w:r>
      <w:proofErr w:type="spellEnd"/>
      <w:r w:rsidRPr="006E06A1">
        <w:rPr>
          <w:rFonts w:ascii="Lucida Bright" w:hAnsi="Lucida Bright"/>
          <w:sz w:val="28"/>
          <w:szCs w:val="28"/>
        </w:rPr>
        <w:t xml:space="preserve"> of right to health under the Nigerian Legal Regime. </w:t>
      </w:r>
    </w:p>
    <w:p w:rsidR="006B42B9" w:rsidRPr="006E06A1" w:rsidRDefault="006B42B9" w:rsidP="008535C1">
      <w:pPr>
        <w:spacing w:line="360" w:lineRule="auto"/>
        <w:jc w:val="both"/>
        <w:rPr>
          <w:rFonts w:ascii="Lucida Bright" w:hAnsi="Lucida Bright"/>
          <w:sz w:val="28"/>
          <w:szCs w:val="28"/>
        </w:rPr>
      </w:pPr>
      <w:r w:rsidRPr="006E06A1">
        <w:rPr>
          <w:rFonts w:ascii="Lucida Bright" w:hAnsi="Lucida Bright"/>
          <w:sz w:val="28"/>
          <w:szCs w:val="28"/>
        </w:rPr>
        <w:t xml:space="preserve">As can be obviously seen, I am not a </w:t>
      </w:r>
      <w:r w:rsidR="00BC62BA" w:rsidRPr="006E06A1">
        <w:rPr>
          <w:rFonts w:ascii="Lucida Bright" w:hAnsi="Lucida Bright"/>
          <w:sz w:val="28"/>
          <w:szCs w:val="28"/>
        </w:rPr>
        <w:t xml:space="preserve">specialist in the field of </w:t>
      </w:r>
      <w:r w:rsidRPr="006E06A1">
        <w:rPr>
          <w:rFonts w:ascii="Lucida Bright" w:hAnsi="Lucida Bright"/>
          <w:sz w:val="28"/>
          <w:szCs w:val="28"/>
        </w:rPr>
        <w:t>medi</w:t>
      </w:r>
      <w:r w:rsidR="00BC62BA" w:rsidRPr="006E06A1">
        <w:rPr>
          <w:rFonts w:ascii="Lucida Bright" w:hAnsi="Lucida Bright"/>
          <w:sz w:val="28"/>
          <w:szCs w:val="28"/>
        </w:rPr>
        <w:t xml:space="preserve">cal and health law </w:t>
      </w:r>
      <w:r w:rsidRPr="006E06A1">
        <w:rPr>
          <w:rFonts w:ascii="Lucida Bright" w:hAnsi="Lucida Bright"/>
          <w:sz w:val="28"/>
          <w:szCs w:val="28"/>
        </w:rPr>
        <w:t>and as such do not claim expertise in th</w:t>
      </w:r>
      <w:r w:rsidR="00BC62BA" w:rsidRPr="006E06A1">
        <w:rPr>
          <w:rFonts w:ascii="Lucida Bright" w:hAnsi="Lucida Bright"/>
          <w:sz w:val="28"/>
          <w:szCs w:val="28"/>
        </w:rPr>
        <w:t>e area</w:t>
      </w:r>
      <w:r w:rsidRPr="006E06A1">
        <w:rPr>
          <w:rFonts w:ascii="Lucida Bright" w:hAnsi="Lucida Bright"/>
          <w:sz w:val="28"/>
          <w:szCs w:val="28"/>
        </w:rPr>
        <w:t xml:space="preserve">. I suspect that, this invitation has been extended to me in recognition of my modest contributions in the area </w:t>
      </w:r>
      <w:r w:rsidR="00604E30" w:rsidRPr="006E06A1">
        <w:rPr>
          <w:rFonts w:ascii="Lucida Bright" w:hAnsi="Lucida Bright"/>
          <w:sz w:val="28"/>
          <w:szCs w:val="28"/>
        </w:rPr>
        <w:t>on the social media platform</w:t>
      </w:r>
      <w:r w:rsidR="0028601B" w:rsidRPr="006E06A1">
        <w:rPr>
          <w:rFonts w:ascii="Lucida Bright" w:hAnsi="Lucida Bright"/>
          <w:sz w:val="28"/>
          <w:szCs w:val="28"/>
        </w:rPr>
        <w:t>s</w:t>
      </w:r>
      <w:r w:rsidR="00604E30" w:rsidRPr="006E06A1">
        <w:rPr>
          <w:rFonts w:ascii="Lucida Bright" w:hAnsi="Lucida Bright"/>
          <w:sz w:val="28"/>
          <w:szCs w:val="28"/>
        </w:rPr>
        <w:t xml:space="preserve"> associated with my former law firm</w:t>
      </w:r>
      <w:r w:rsidR="0028601B" w:rsidRPr="006E06A1">
        <w:rPr>
          <w:rFonts w:ascii="Lucida Bright" w:hAnsi="Lucida Bright"/>
          <w:sz w:val="28"/>
          <w:szCs w:val="28"/>
        </w:rPr>
        <w:t xml:space="preserve"> – AYG LEGAL (defunct)</w:t>
      </w:r>
      <w:r w:rsidR="00604E30" w:rsidRPr="006E06A1">
        <w:rPr>
          <w:rFonts w:ascii="Lucida Bright" w:hAnsi="Lucida Bright"/>
          <w:sz w:val="28"/>
          <w:szCs w:val="28"/>
        </w:rPr>
        <w:t>, while in active legal practice, before my appointment as a High Court Judge</w:t>
      </w:r>
      <w:r w:rsidR="0028601B" w:rsidRPr="006E06A1">
        <w:rPr>
          <w:rFonts w:ascii="Lucida Bright" w:hAnsi="Lucida Bright"/>
          <w:sz w:val="28"/>
          <w:szCs w:val="28"/>
        </w:rPr>
        <w:t xml:space="preserve"> in </w:t>
      </w:r>
      <w:proofErr w:type="spellStart"/>
      <w:r w:rsidR="0028601B" w:rsidRPr="006E06A1">
        <w:rPr>
          <w:rFonts w:ascii="Lucida Bright" w:hAnsi="Lucida Bright"/>
          <w:sz w:val="28"/>
          <w:szCs w:val="28"/>
        </w:rPr>
        <w:t>Jigawa</w:t>
      </w:r>
      <w:proofErr w:type="spellEnd"/>
      <w:r w:rsidR="0028601B" w:rsidRPr="006E06A1">
        <w:rPr>
          <w:rFonts w:ascii="Lucida Bright" w:hAnsi="Lucida Bright"/>
          <w:sz w:val="28"/>
          <w:szCs w:val="28"/>
        </w:rPr>
        <w:t xml:space="preserve"> State</w:t>
      </w:r>
      <w:r w:rsidR="00604E30" w:rsidRPr="006E06A1">
        <w:rPr>
          <w:rFonts w:ascii="Lucida Bright" w:hAnsi="Lucida Bright"/>
          <w:sz w:val="28"/>
          <w:szCs w:val="28"/>
        </w:rPr>
        <w:t>, which position I now occupy.</w:t>
      </w:r>
      <w:r w:rsidR="00BC62BA" w:rsidRPr="006E06A1">
        <w:rPr>
          <w:rFonts w:ascii="Lucida Bright" w:hAnsi="Lucida Bright"/>
          <w:sz w:val="28"/>
          <w:szCs w:val="28"/>
        </w:rPr>
        <w:t xml:space="preserve"> I have to therefore say clearly that, this paper is only aimed at provoking our thoughts, and to open further discussions on the topic. Hence, it does not in any way intended to serve as an expert opinion on the topic. It is in fact a collation of existing works by other authors and a little of my humble and modest analysis thereto.</w:t>
      </w:r>
    </w:p>
    <w:p w:rsidR="00604E30" w:rsidRPr="006E06A1" w:rsidRDefault="00604E30" w:rsidP="008535C1">
      <w:pPr>
        <w:spacing w:line="360" w:lineRule="auto"/>
        <w:jc w:val="both"/>
        <w:rPr>
          <w:rFonts w:ascii="Lucida Bright" w:hAnsi="Lucida Bright"/>
          <w:sz w:val="28"/>
          <w:szCs w:val="28"/>
        </w:rPr>
      </w:pPr>
      <w:r w:rsidRPr="006E06A1">
        <w:rPr>
          <w:rFonts w:ascii="Lucida Bright" w:hAnsi="Lucida Bright"/>
          <w:sz w:val="28"/>
          <w:szCs w:val="28"/>
        </w:rPr>
        <w:lastRenderedPageBreak/>
        <w:t>I am happy to share my limited knowledge in the</w:t>
      </w:r>
      <w:r w:rsidR="00BC62BA" w:rsidRPr="006E06A1">
        <w:rPr>
          <w:rFonts w:ascii="Lucida Bright" w:hAnsi="Lucida Bright"/>
          <w:sz w:val="28"/>
          <w:szCs w:val="28"/>
        </w:rPr>
        <w:t xml:space="preserve"> area of medical and health law at this august event </w:t>
      </w:r>
      <w:r w:rsidRPr="006E06A1">
        <w:rPr>
          <w:rFonts w:ascii="Lucida Bright" w:hAnsi="Lucida Bright"/>
          <w:sz w:val="28"/>
          <w:szCs w:val="28"/>
        </w:rPr>
        <w:t xml:space="preserve">and </w:t>
      </w:r>
      <w:r w:rsidR="00BC62BA" w:rsidRPr="006E06A1">
        <w:rPr>
          <w:rFonts w:ascii="Lucida Bright" w:hAnsi="Lucida Bright"/>
          <w:sz w:val="28"/>
          <w:szCs w:val="28"/>
        </w:rPr>
        <w:t xml:space="preserve">I </w:t>
      </w:r>
      <w:r w:rsidRPr="006E06A1">
        <w:rPr>
          <w:rFonts w:ascii="Lucida Bright" w:hAnsi="Lucida Bright"/>
          <w:sz w:val="28"/>
          <w:szCs w:val="28"/>
        </w:rPr>
        <w:t>thank the organizers, for giving me this opportunity.</w:t>
      </w:r>
      <w:r w:rsidR="00BC62BA" w:rsidRPr="006E06A1">
        <w:rPr>
          <w:rFonts w:ascii="Lucida Bright" w:hAnsi="Lucida Bright"/>
          <w:sz w:val="28"/>
          <w:szCs w:val="28"/>
        </w:rPr>
        <w:t xml:space="preserve"> </w:t>
      </w:r>
    </w:p>
    <w:p w:rsidR="00BC62BA" w:rsidRPr="006E06A1" w:rsidRDefault="00BC62BA" w:rsidP="008535C1">
      <w:pPr>
        <w:spacing w:line="360" w:lineRule="auto"/>
        <w:jc w:val="both"/>
        <w:rPr>
          <w:rFonts w:ascii="Lucida Bright" w:hAnsi="Lucida Bright"/>
          <w:b/>
          <w:bCs/>
          <w:sz w:val="28"/>
          <w:szCs w:val="28"/>
          <w:u w:val="single"/>
        </w:rPr>
      </w:pPr>
    </w:p>
    <w:p w:rsidR="003E725B" w:rsidRPr="006E06A1" w:rsidRDefault="003E725B" w:rsidP="008535C1">
      <w:pPr>
        <w:spacing w:line="360" w:lineRule="auto"/>
        <w:jc w:val="both"/>
        <w:rPr>
          <w:rFonts w:ascii="Lucida Bright" w:hAnsi="Lucida Bright"/>
          <w:b/>
          <w:bCs/>
          <w:sz w:val="28"/>
          <w:szCs w:val="28"/>
          <w:u w:val="single"/>
        </w:rPr>
      </w:pPr>
      <w:r w:rsidRPr="006E06A1">
        <w:rPr>
          <w:rFonts w:ascii="Lucida Bright" w:hAnsi="Lucida Bright"/>
          <w:b/>
          <w:bCs/>
          <w:sz w:val="28"/>
          <w:szCs w:val="28"/>
          <w:u w:val="single"/>
        </w:rPr>
        <w:t>Introduction</w:t>
      </w:r>
    </w:p>
    <w:p w:rsidR="002F1005" w:rsidRPr="006E06A1" w:rsidRDefault="002F1005" w:rsidP="008535C1">
      <w:pPr>
        <w:spacing w:line="360" w:lineRule="auto"/>
        <w:jc w:val="both"/>
        <w:rPr>
          <w:rFonts w:ascii="Lucida Bright" w:hAnsi="Lucida Bright"/>
          <w:sz w:val="28"/>
          <w:szCs w:val="28"/>
        </w:rPr>
      </w:pPr>
      <w:r w:rsidRPr="006E06A1">
        <w:rPr>
          <w:rFonts w:ascii="Lucida Bright" w:hAnsi="Lucida Bright" w:cs="Arial"/>
          <w:color w:val="252525"/>
          <w:sz w:val="28"/>
          <w:szCs w:val="28"/>
          <w:shd w:val="clear" w:color="auto" w:fill="FFFFFF"/>
        </w:rPr>
        <w:t xml:space="preserve">The </w:t>
      </w:r>
      <w:proofErr w:type="spellStart"/>
      <w:r w:rsidRPr="006E06A1">
        <w:rPr>
          <w:rFonts w:ascii="Lucida Bright" w:hAnsi="Lucida Bright" w:cs="Arial"/>
          <w:color w:val="252525"/>
          <w:sz w:val="28"/>
          <w:szCs w:val="28"/>
          <w:shd w:val="clear" w:color="auto" w:fill="FFFFFF"/>
        </w:rPr>
        <w:t>justiciability</w:t>
      </w:r>
      <w:proofErr w:type="spellEnd"/>
      <w:r w:rsidRPr="006E06A1">
        <w:rPr>
          <w:rFonts w:ascii="Lucida Bright" w:hAnsi="Lucida Bright" w:cs="Arial"/>
          <w:color w:val="252525"/>
          <w:sz w:val="28"/>
          <w:szCs w:val="28"/>
          <w:shd w:val="clear" w:color="auto" w:fill="FFFFFF"/>
        </w:rPr>
        <w:t xml:space="preserve"> of human rights in Nigeria is rooted in the </w:t>
      </w:r>
      <w:r w:rsidR="00A21689" w:rsidRPr="006E06A1">
        <w:rPr>
          <w:rFonts w:ascii="Lucida Bright" w:hAnsi="Lucida Bright" w:cs="Arial"/>
          <w:color w:val="252525"/>
          <w:sz w:val="28"/>
          <w:szCs w:val="28"/>
          <w:shd w:val="clear" w:color="auto" w:fill="FFFFFF"/>
        </w:rPr>
        <w:t>dichotomization</w:t>
      </w:r>
      <w:r w:rsidRPr="006E06A1">
        <w:rPr>
          <w:rFonts w:ascii="Lucida Bright" w:hAnsi="Lucida Bright" w:cs="Arial"/>
          <w:color w:val="252525"/>
          <w:sz w:val="28"/>
          <w:szCs w:val="28"/>
          <w:shd w:val="clear" w:color="auto" w:fill="FFFFFF"/>
        </w:rPr>
        <w:t xml:space="preserve"> of the Constitution into two distinct chapters</w:t>
      </w:r>
      <w:r w:rsidRPr="006E06A1">
        <w:rPr>
          <w:rStyle w:val="FootnoteReference"/>
          <w:rFonts w:ascii="Lucida Bright" w:hAnsi="Lucida Bright" w:cs="Arial"/>
          <w:color w:val="252525"/>
          <w:sz w:val="28"/>
          <w:szCs w:val="28"/>
          <w:shd w:val="clear" w:color="auto" w:fill="FFFFFF"/>
        </w:rPr>
        <w:footnoteReference w:id="2"/>
      </w:r>
      <w:r w:rsidRPr="006E06A1">
        <w:rPr>
          <w:rFonts w:ascii="Lucida Bright" w:hAnsi="Lucida Bright" w:cs="Arial"/>
          <w:color w:val="252525"/>
          <w:sz w:val="28"/>
          <w:szCs w:val="28"/>
          <w:shd w:val="clear" w:color="auto" w:fill="FFFFFF"/>
        </w:rPr>
        <w:t>, which originated from the 1979 Constitution. The Constitution incorporated "Fundamental Objectives and Directive Principles of State Policy," which are defined as ideals the nation should strive towards and policies to pursue to realize them. The current Constitution of 1999 enumerates classic socioeconomic rights, such as the right to work</w:t>
      </w:r>
      <w:r w:rsidRPr="006E06A1">
        <w:rPr>
          <w:rStyle w:val="FootnoteReference"/>
          <w:rFonts w:ascii="Lucida Bright" w:hAnsi="Lucida Bright" w:cs="Arial"/>
          <w:color w:val="252525"/>
          <w:sz w:val="28"/>
          <w:szCs w:val="28"/>
          <w:shd w:val="clear" w:color="auto" w:fill="FFFFFF"/>
        </w:rPr>
        <w:footnoteReference w:id="3"/>
      </w:r>
      <w:r w:rsidRPr="006E06A1">
        <w:rPr>
          <w:rFonts w:ascii="Lucida Bright" w:hAnsi="Lucida Bright" w:cs="Arial"/>
          <w:color w:val="252525"/>
          <w:sz w:val="28"/>
          <w:szCs w:val="28"/>
          <w:shd w:val="clear" w:color="auto" w:fill="FFFFFF"/>
        </w:rPr>
        <w:t>, the right to healthcare</w:t>
      </w:r>
      <w:r w:rsidRPr="006E06A1">
        <w:rPr>
          <w:rStyle w:val="FootnoteReference"/>
          <w:rFonts w:ascii="Lucida Bright" w:hAnsi="Lucida Bright" w:cs="Arial"/>
          <w:color w:val="252525"/>
          <w:sz w:val="28"/>
          <w:szCs w:val="28"/>
          <w:shd w:val="clear" w:color="auto" w:fill="FFFFFF"/>
        </w:rPr>
        <w:footnoteReference w:id="4"/>
      </w:r>
      <w:r w:rsidRPr="006E06A1">
        <w:rPr>
          <w:rFonts w:ascii="Lucida Bright" w:hAnsi="Lucida Bright" w:cs="Arial"/>
          <w:color w:val="252525"/>
          <w:sz w:val="28"/>
          <w:szCs w:val="28"/>
          <w:shd w:val="clear" w:color="auto" w:fill="FFFFFF"/>
        </w:rPr>
        <w:t>, the right to social security</w:t>
      </w:r>
      <w:r w:rsidRPr="006E06A1">
        <w:rPr>
          <w:rStyle w:val="FootnoteReference"/>
          <w:rFonts w:ascii="Lucida Bright" w:hAnsi="Lucida Bright" w:cs="Arial"/>
          <w:color w:val="252525"/>
          <w:sz w:val="28"/>
          <w:szCs w:val="28"/>
          <w:shd w:val="clear" w:color="auto" w:fill="FFFFFF"/>
        </w:rPr>
        <w:footnoteReference w:id="5"/>
      </w:r>
      <w:r w:rsidRPr="006E06A1">
        <w:rPr>
          <w:rFonts w:ascii="Lucida Bright" w:hAnsi="Lucida Bright" w:cs="Arial"/>
          <w:color w:val="252525"/>
          <w:sz w:val="28"/>
          <w:szCs w:val="28"/>
          <w:shd w:val="clear" w:color="auto" w:fill="FFFFFF"/>
        </w:rPr>
        <w:t>, the right to education</w:t>
      </w:r>
      <w:r w:rsidRPr="006E06A1">
        <w:rPr>
          <w:rStyle w:val="FootnoteReference"/>
          <w:rFonts w:ascii="Lucida Bright" w:hAnsi="Lucida Bright" w:cs="Arial"/>
          <w:color w:val="252525"/>
          <w:sz w:val="28"/>
          <w:szCs w:val="28"/>
          <w:shd w:val="clear" w:color="auto" w:fill="FFFFFF"/>
        </w:rPr>
        <w:footnoteReference w:id="6"/>
      </w:r>
      <w:r w:rsidRPr="006E06A1">
        <w:rPr>
          <w:rFonts w:ascii="Lucida Bright" w:hAnsi="Lucida Bright" w:cs="Arial"/>
          <w:color w:val="252525"/>
          <w:sz w:val="28"/>
          <w:szCs w:val="28"/>
          <w:shd w:val="clear" w:color="auto" w:fill="FFFFFF"/>
        </w:rPr>
        <w:t>, and the right to environment</w:t>
      </w:r>
      <w:r w:rsidRPr="006E06A1">
        <w:rPr>
          <w:rStyle w:val="FootnoteReference"/>
          <w:rFonts w:ascii="Lucida Bright" w:hAnsi="Lucida Bright" w:cs="Arial"/>
          <w:color w:val="252525"/>
          <w:sz w:val="28"/>
          <w:szCs w:val="28"/>
          <w:shd w:val="clear" w:color="auto" w:fill="FFFFFF"/>
        </w:rPr>
        <w:footnoteReference w:id="7"/>
      </w:r>
      <w:r w:rsidRPr="006E06A1">
        <w:rPr>
          <w:rFonts w:ascii="Lucida Bright" w:hAnsi="Lucida Bright" w:cs="Arial"/>
          <w:color w:val="252525"/>
          <w:sz w:val="28"/>
          <w:szCs w:val="28"/>
          <w:shd w:val="clear" w:color="auto" w:fill="FFFFFF"/>
        </w:rPr>
        <w:t>, but does not designate th</w:t>
      </w:r>
      <w:r w:rsidR="0028601B" w:rsidRPr="006E06A1">
        <w:rPr>
          <w:rFonts w:ascii="Lucida Bright" w:hAnsi="Lucida Bright" w:cs="Arial"/>
          <w:color w:val="252525"/>
          <w:sz w:val="28"/>
          <w:szCs w:val="28"/>
          <w:shd w:val="clear" w:color="auto" w:fill="FFFFFF"/>
        </w:rPr>
        <w:t>em as human rights. The ouster</w:t>
      </w:r>
      <w:r w:rsidRPr="006E06A1">
        <w:rPr>
          <w:rFonts w:ascii="Lucida Bright" w:hAnsi="Lucida Bright" w:cs="Arial"/>
          <w:color w:val="252525"/>
          <w:sz w:val="28"/>
          <w:szCs w:val="28"/>
          <w:shd w:val="clear" w:color="auto" w:fill="FFFFFF"/>
        </w:rPr>
        <w:t xml:space="preserve"> provision, Section 6(6)(c), limits judicial powers to issues related to omissions or compliance with the Fundamental Objectives and Directive Principles of State Policy. This results in aggrieved parties being </w:t>
      </w:r>
      <w:r w:rsidRPr="006E06A1">
        <w:rPr>
          <w:rFonts w:ascii="Lucida Bright" w:hAnsi="Lucida Bright" w:cs="Arial"/>
          <w:color w:val="252525"/>
          <w:sz w:val="28"/>
          <w:szCs w:val="28"/>
          <w:shd w:val="clear" w:color="auto" w:fill="FFFFFF"/>
        </w:rPr>
        <w:lastRenderedPageBreak/>
        <w:t>unable to seek remedies in court, even when they have credible evidence of violation</w:t>
      </w:r>
      <w:r w:rsidR="00584508" w:rsidRPr="006E06A1">
        <w:rPr>
          <w:rStyle w:val="FootnoteReference"/>
          <w:rFonts w:ascii="Lucida Bright" w:hAnsi="Lucida Bright" w:cs="Arial"/>
          <w:color w:val="252525"/>
          <w:sz w:val="28"/>
          <w:szCs w:val="28"/>
          <w:shd w:val="clear" w:color="auto" w:fill="FFFFFF"/>
        </w:rPr>
        <w:footnoteReference w:id="8"/>
      </w:r>
      <w:r w:rsidRPr="006E06A1">
        <w:rPr>
          <w:rFonts w:ascii="Lucida Bright" w:hAnsi="Lucida Bright" w:cs="Arial"/>
          <w:color w:val="252525"/>
          <w:sz w:val="28"/>
          <w:szCs w:val="28"/>
          <w:shd w:val="clear" w:color="auto" w:fill="FFFFFF"/>
        </w:rPr>
        <w:t>.</w:t>
      </w:r>
    </w:p>
    <w:p w:rsidR="002F1005" w:rsidRPr="006E06A1" w:rsidRDefault="00A21689" w:rsidP="008535C1">
      <w:pPr>
        <w:spacing w:line="360" w:lineRule="auto"/>
        <w:jc w:val="both"/>
        <w:rPr>
          <w:rFonts w:ascii="Lucida Bright" w:hAnsi="Lucida Bright"/>
          <w:sz w:val="28"/>
          <w:szCs w:val="28"/>
        </w:rPr>
      </w:pPr>
      <w:r w:rsidRPr="006E06A1">
        <w:rPr>
          <w:rFonts w:ascii="Lucida Bright" w:hAnsi="Lucida Bright"/>
          <w:sz w:val="28"/>
          <w:szCs w:val="28"/>
        </w:rPr>
        <w:t xml:space="preserve">The focus of this paper is on </w:t>
      </w:r>
      <w:proofErr w:type="spellStart"/>
      <w:r w:rsidRPr="006E06A1">
        <w:rPr>
          <w:rFonts w:ascii="Lucida Bright" w:hAnsi="Lucida Bright"/>
          <w:sz w:val="28"/>
          <w:szCs w:val="28"/>
        </w:rPr>
        <w:t>justiciability</w:t>
      </w:r>
      <w:proofErr w:type="spellEnd"/>
      <w:r w:rsidRPr="006E06A1">
        <w:rPr>
          <w:rFonts w:ascii="Lucida Bright" w:hAnsi="Lucida Bright"/>
          <w:sz w:val="28"/>
          <w:szCs w:val="28"/>
        </w:rPr>
        <w:t xml:space="preserve"> of right to health under the Nigerian legal regime vis-à-vis the non-</w:t>
      </w:r>
      <w:proofErr w:type="spellStart"/>
      <w:r w:rsidRPr="006E06A1">
        <w:rPr>
          <w:rFonts w:ascii="Lucida Bright" w:hAnsi="Lucida Bright"/>
          <w:sz w:val="28"/>
          <w:szCs w:val="28"/>
        </w:rPr>
        <w:t>justiiciability</w:t>
      </w:r>
      <w:proofErr w:type="spellEnd"/>
      <w:r w:rsidRPr="006E06A1">
        <w:rPr>
          <w:rFonts w:ascii="Lucida Bright" w:hAnsi="Lucida Bright"/>
          <w:sz w:val="28"/>
          <w:szCs w:val="28"/>
        </w:rPr>
        <w:t xml:space="preserve"> status of chapter II of the Constitution of the Federal Republic of Nigeria 1999 (as amended).</w:t>
      </w:r>
    </w:p>
    <w:p w:rsidR="00F835AE" w:rsidRPr="006E06A1" w:rsidRDefault="00F835AE" w:rsidP="008535C1">
      <w:pPr>
        <w:spacing w:line="360" w:lineRule="auto"/>
        <w:jc w:val="both"/>
        <w:rPr>
          <w:rFonts w:ascii="Lucida Bright" w:hAnsi="Lucida Bright"/>
          <w:sz w:val="28"/>
          <w:szCs w:val="28"/>
        </w:rPr>
      </w:pPr>
    </w:p>
    <w:p w:rsidR="00604E30" w:rsidRPr="006E06A1" w:rsidRDefault="00604E30" w:rsidP="008535C1">
      <w:pPr>
        <w:autoSpaceDE w:val="0"/>
        <w:autoSpaceDN w:val="0"/>
        <w:adjustRightInd w:val="0"/>
        <w:spacing w:after="0" w:line="360" w:lineRule="auto"/>
        <w:jc w:val="both"/>
        <w:rPr>
          <w:rFonts w:ascii="Lucida Bright" w:hAnsi="Lucida Bright" w:cs="TimesNewRomanPS-BoldMT-SC700"/>
          <w:b/>
          <w:bCs/>
          <w:color w:val="000000"/>
          <w:sz w:val="28"/>
          <w:szCs w:val="28"/>
          <w:u w:val="single"/>
        </w:rPr>
      </w:pPr>
      <w:r w:rsidRPr="006E06A1">
        <w:rPr>
          <w:rFonts w:ascii="Lucida Bright" w:hAnsi="Lucida Bright" w:cs="TimesNewRomanPS-BoldMT-SC700"/>
          <w:b/>
          <w:bCs/>
          <w:color w:val="000000"/>
          <w:sz w:val="28"/>
          <w:szCs w:val="28"/>
          <w:u w:val="single"/>
        </w:rPr>
        <w:t>Socioeconomic Rights in Nigeria</w:t>
      </w:r>
      <w:r w:rsidR="001529AF" w:rsidRPr="006E06A1">
        <w:rPr>
          <w:rFonts w:ascii="Lucida Bright" w:hAnsi="Lucida Bright" w:cs="TimesNewRomanPS-BoldMT-SC700"/>
          <w:b/>
          <w:bCs/>
          <w:color w:val="000000"/>
          <w:sz w:val="28"/>
          <w:szCs w:val="28"/>
          <w:u w:val="single"/>
        </w:rPr>
        <w:t xml:space="preserve"> Vis-à-vis Paradigm Shift on the Global </w:t>
      </w:r>
      <w:proofErr w:type="spellStart"/>
      <w:r w:rsidR="001529AF" w:rsidRPr="006E06A1">
        <w:rPr>
          <w:rFonts w:ascii="Lucida Bright" w:hAnsi="Lucida Bright" w:cs="TimesNewRomanPS-BoldMT-SC700"/>
          <w:b/>
          <w:bCs/>
          <w:color w:val="000000"/>
          <w:sz w:val="28"/>
          <w:szCs w:val="28"/>
          <w:u w:val="single"/>
        </w:rPr>
        <w:t>Justisciability</w:t>
      </w:r>
      <w:proofErr w:type="spellEnd"/>
      <w:r w:rsidR="001529AF" w:rsidRPr="006E06A1">
        <w:rPr>
          <w:rFonts w:ascii="Lucida Bright" w:hAnsi="Lucida Bright" w:cs="TimesNewRomanPS-BoldMT-SC700"/>
          <w:b/>
          <w:bCs/>
          <w:color w:val="000000"/>
          <w:sz w:val="28"/>
          <w:szCs w:val="28"/>
          <w:u w:val="single"/>
        </w:rPr>
        <w:t xml:space="preserve"> Spectacle.</w:t>
      </w:r>
    </w:p>
    <w:p w:rsidR="001529AF" w:rsidRPr="006E06A1" w:rsidRDefault="001529AF" w:rsidP="008535C1">
      <w:pPr>
        <w:autoSpaceDE w:val="0"/>
        <w:autoSpaceDN w:val="0"/>
        <w:adjustRightInd w:val="0"/>
        <w:spacing w:after="0" w:line="360" w:lineRule="auto"/>
        <w:jc w:val="both"/>
        <w:rPr>
          <w:rFonts w:ascii="Lucida Bright" w:hAnsi="Lucida Bright" w:cs="TimesNewRomanPS-BoldMT-SC700"/>
          <w:b/>
          <w:bCs/>
          <w:color w:val="000000"/>
          <w:sz w:val="28"/>
          <w:szCs w:val="28"/>
          <w:u w:val="single"/>
        </w:rPr>
      </w:pPr>
    </w:p>
    <w:p w:rsidR="001529AF" w:rsidRPr="006E06A1" w:rsidRDefault="001529AF" w:rsidP="008535C1">
      <w:pPr>
        <w:spacing w:line="360" w:lineRule="auto"/>
        <w:jc w:val="both"/>
        <w:rPr>
          <w:rFonts w:ascii="Lucida Bright" w:hAnsi="Lucida Bright" w:cs="TimesNewRomanPSMT"/>
          <w:color w:val="000000"/>
          <w:sz w:val="28"/>
          <w:szCs w:val="28"/>
        </w:rPr>
      </w:pPr>
      <w:r w:rsidRPr="006E06A1">
        <w:rPr>
          <w:rFonts w:ascii="Lucida Bright" w:hAnsi="Lucida Bright" w:cs="TimesNewRomanPSMT"/>
          <w:color w:val="000000"/>
          <w:sz w:val="28"/>
          <w:szCs w:val="28"/>
        </w:rPr>
        <w:t>Nigeria's default position regarding socioeconomic rights is towards non-</w:t>
      </w:r>
      <w:proofErr w:type="spellStart"/>
      <w:r w:rsidRPr="006E06A1">
        <w:rPr>
          <w:rFonts w:ascii="Lucida Bright" w:hAnsi="Lucida Bright" w:cs="TimesNewRomanPSMT"/>
          <w:color w:val="000000"/>
          <w:sz w:val="28"/>
          <w:szCs w:val="28"/>
        </w:rPr>
        <w:t>justiciability</w:t>
      </w:r>
      <w:proofErr w:type="spellEnd"/>
      <w:r w:rsidRPr="006E06A1">
        <w:rPr>
          <w:rFonts w:ascii="Lucida Bright" w:hAnsi="Lucida Bright" w:cs="TimesNewRomanPSMT"/>
          <w:color w:val="000000"/>
          <w:sz w:val="28"/>
          <w:szCs w:val="28"/>
        </w:rPr>
        <w:t xml:space="preserve">, as the country has not embraced the bifurcation of human rights and judicial attitude towards each category of rights. However, there is a growing global shift in human rights protection, particularly in countries like Nigeria, which generally denies recognition of socioeconomic rights. The Supreme Court's pronouncement in </w:t>
      </w:r>
      <w:proofErr w:type="spellStart"/>
      <w:r w:rsidRPr="006E06A1">
        <w:rPr>
          <w:rFonts w:ascii="Lucida Bright" w:hAnsi="Lucida Bright" w:cs="TimesNewRomanPSMT"/>
          <w:i/>
          <w:iCs/>
          <w:color w:val="000000"/>
          <w:sz w:val="28"/>
          <w:szCs w:val="28"/>
        </w:rPr>
        <w:t>Olafisoye</w:t>
      </w:r>
      <w:proofErr w:type="spellEnd"/>
      <w:r w:rsidRPr="006E06A1">
        <w:rPr>
          <w:rFonts w:ascii="Lucida Bright" w:hAnsi="Lucida Bright" w:cs="TimesNewRomanPSMT"/>
          <w:i/>
          <w:iCs/>
          <w:color w:val="000000"/>
          <w:sz w:val="28"/>
          <w:szCs w:val="28"/>
        </w:rPr>
        <w:t xml:space="preserve"> v Federal Republic of Nigeria</w:t>
      </w:r>
      <w:r w:rsidR="009A215B" w:rsidRPr="006E06A1">
        <w:rPr>
          <w:rStyle w:val="FootnoteReference"/>
          <w:rFonts w:ascii="Lucida Bright" w:hAnsi="Lucida Bright" w:cs="TimesNewRomanPSMT"/>
          <w:color w:val="000000"/>
          <w:sz w:val="28"/>
          <w:szCs w:val="28"/>
        </w:rPr>
        <w:footnoteReference w:id="9"/>
      </w:r>
      <w:r w:rsidRPr="006E06A1">
        <w:rPr>
          <w:rFonts w:ascii="Lucida Bright" w:hAnsi="Lucida Bright" w:cs="TimesNewRomanPSMT"/>
          <w:color w:val="000000"/>
          <w:sz w:val="28"/>
          <w:szCs w:val="28"/>
        </w:rPr>
        <w:t xml:space="preserve"> highlights that Section 6(6)(c) of the Constitution does not cover all cases concerning socioeconomic rights. However, there could be constitutionally legitimate paths to dismantle the prohibitory provisions. The legislative prerogative of the National Assembly is to establish and regulate authorities for the Federation or any part </w:t>
      </w:r>
      <w:r w:rsidRPr="006E06A1">
        <w:rPr>
          <w:rFonts w:ascii="Lucida Bright" w:hAnsi="Lucida Bright" w:cs="TimesNewRomanPSMT"/>
          <w:color w:val="000000"/>
          <w:sz w:val="28"/>
          <w:szCs w:val="28"/>
        </w:rPr>
        <w:lastRenderedPageBreak/>
        <w:t>thereof to promote and enforce the observance of the Constitution's Fundamental Objectives and Directive Principles.</w:t>
      </w:r>
    </w:p>
    <w:p w:rsidR="001529AF" w:rsidRPr="006E06A1" w:rsidRDefault="001529AF" w:rsidP="008535C1">
      <w:pPr>
        <w:spacing w:line="360" w:lineRule="auto"/>
        <w:jc w:val="both"/>
        <w:rPr>
          <w:rFonts w:ascii="Lucida Bright" w:hAnsi="Lucida Bright" w:cs="TimesNewRomanPSMT"/>
          <w:color w:val="000000"/>
          <w:sz w:val="28"/>
          <w:szCs w:val="28"/>
        </w:rPr>
      </w:pPr>
    </w:p>
    <w:p w:rsidR="001529AF" w:rsidRPr="006E06A1" w:rsidRDefault="001529AF" w:rsidP="008535C1">
      <w:pPr>
        <w:spacing w:line="360" w:lineRule="auto"/>
        <w:jc w:val="both"/>
        <w:rPr>
          <w:rFonts w:ascii="Lucida Bright" w:hAnsi="Lucida Bright" w:cs="TimesNewRomanPSMT"/>
          <w:color w:val="000000"/>
          <w:sz w:val="28"/>
          <w:szCs w:val="28"/>
        </w:rPr>
      </w:pPr>
      <w:r w:rsidRPr="006E06A1">
        <w:rPr>
          <w:rFonts w:ascii="Lucida Bright" w:hAnsi="Lucida Bright" w:cs="TimesNewRomanPSMT"/>
          <w:color w:val="000000"/>
          <w:sz w:val="28"/>
          <w:szCs w:val="28"/>
        </w:rPr>
        <w:t>A reasonable interpretation of item 60</w:t>
      </w:r>
      <w:r w:rsidR="00D0746E" w:rsidRPr="006E06A1">
        <w:rPr>
          <w:rFonts w:ascii="Lucida Bright" w:hAnsi="Lucida Bright" w:cs="TimesNewRomanPSMT"/>
          <w:color w:val="000000"/>
          <w:sz w:val="28"/>
          <w:szCs w:val="28"/>
        </w:rPr>
        <w:t xml:space="preserve"> </w:t>
      </w:r>
      <w:r w:rsidRPr="006E06A1">
        <w:rPr>
          <w:rFonts w:ascii="Lucida Bright" w:hAnsi="Lucida Bright" w:cs="TimesNewRomanPSMT"/>
          <w:color w:val="000000"/>
          <w:sz w:val="28"/>
          <w:szCs w:val="28"/>
        </w:rPr>
        <w:t>(a)</w:t>
      </w:r>
      <w:r w:rsidR="00C40542" w:rsidRPr="006E06A1">
        <w:rPr>
          <w:rFonts w:ascii="Lucida Bright" w:hAnsi="Lucida Bright" w:cs="TimesNewRomanPSMT"/>
          <w:color w:val="000000"/>
          <w:sz w:val="28"/>
          <w:szCs w:val="28"/>
        </w:rPr>
        <w:t xml:space="preserve"> of the Constitution</w:t>
      </w:r>
      <w:r w:rsidRPr="006E06A1">
        <w:rPr>
          <w:rFonts w:ascii="Lucida Bright" w:hAnsi="Lucida Bright" w:cs="TimesNewRomanPSMT"/>
          <w:color w:val="000000"/>
          <w:sz w:val="28"/>
          <w:szCs w:val="28"/>
        </w:rPr>
        <w:t xml:space="preserve"> seems to be that the provision grants authority to the National Assembly to confer </w:t>
      </w:r>
      <w:proofErr w:type="spellStart"/>
      <w:r w:rsidRPr="006E06A1">
        <w:rPr>
          <w:rFonts w:ascii="Lucida Bright" w:hAnsi="Lucida Bright" w:cs="TimesNewRomanPSMT"/>
          <w:color w:val="000000"/>
          <w:sz w:val="28"/>
          <w:szCs w:val="28"/>
        </w:rPr>
        <w:t>justiciability</w:t>
      </w:r>
      <w:proofErr w:type="spellEnd"/>
      <w:r w:rsidRPr="006E06A1">
        <w:rPr>
          <w:rFonts w:ascii="Lucida Bright" w:hAnsi="Lucida Bright" w:cs="TimesNewRomanPSMT"/>
          <w:color w:val="000000"/>
          <w:sz w:val="28"/>
          <w:szCs w:val="28"/>
        </w:rPr>
        <w:t xml:space="preserve"> status to the Directive Principles i</w:t>
      </w:r>
      <w:r w:rsidR="00C40542" w:rsidRPr="006E06A1">
        <w:rPr>
          <w:rFonts w:ascii="Lucida Bright" w:hAnsi="Lucida Bright" w:cs="TimesNewRomanPSMT"/>
          <w:color w:val="000000"/>
          <w:sz w:val="28"/>
          <w:szCs w:val="28"/>
        </w:rPr>
        <w:t>n Chapter II thereof</w:t>
      </w:r>
      <w:r w:rsidRPr="006E06A1">
        <w:rPr>
          <w:rFonts w:ascii="Lucida Bright" w:hAnsi="Lucida Bright" w:cs="TimesNewRomanPSMT"/>
          <w:color w:val="000000"/>
          <w:sz w:val="28"/>
          <w:szCs w:val="28"/>
        </w:rPr>
        <w:t>. This would abrogate the application of Section 6 (6)(c), empowering courts in Nigeria to enforce the observance of the Directive Principles. A combined reading of Section 4 (1) &amp; (2) and item 60(a) on the Exclusive Legislative List would result in the National Assembly either enacting a statutory framework declaring some or all of the provisions of Chapter II as legal entitlements (human rights) and therefore justiciable, or repealing Section 6 (6)(c), conferring jurisdiction on courts to entertain cases brought under Chapter II.</w:t>
      </w:r>
    </w:p>
    <w:p w:rsidR="00D0746E" w:rsidRPr="006E06A1" w:rsidRDefault="00D0746E" w:rsidP="008535C1">
      <w:pPr>
        <w:spacing w:line="360" w:lineRule="auto"/>
        <w:jc w:val="both"/>
        <w:rPr>
          <w:rFonts w:ascii="Lucida Bright" w:hAnsi="Lucida Bright" w:cs="Arial"/>
          <w:color w:val="252525"/>
          <w:sz w:val="28"/>
          <w:szCs w:val="28"/>
          <w:shd w:val="clear" w:color="auto" w:fill="FFFFFF"/>
        </w:rPr>
      </w:pPr>
      <w:r w:rsidRPr="006E06A1">
        <w:rPr>
          <w:rFonts w:ascii="Lucida Bright" w:hAnsi="Lucida Bright" w:cs="Arial"/>
          <w:color w:val="252525"/>
          <w:sz w:val="28"/>
          <w:szCs w:val="28"/>
          <w:shd w:val="clear" w:color="auto" w:fill="FFFFFF"/>
        </w:rPr>
        <w:t>Domesticated treaties enthrone enforceable claims like statutes enacted through regular domestic legislative processes</w:t>
      </w:r>
      <w:r w:rsidR="00C40542" w:rsidRPr="006E06A1">
        <w:rPr>
          <w:rFonts w:ascii="Lucida Bright" w:hAnsi="Lucida Bright" w:cs="Arial"/>
          <w:color w:val="252525"/>
          <w:sz w:val="28"/>
          <w:szCs w:val="28"/>
          <w:shd w:val="clear" w:color="auto" w:fill="FFFFFF"/>
        </w:rPr>
        <w:t xml:space="preserve"> (the likes of National Hea</w:t>
      </w:r>
      <w:r w:rsidR="008535C1" w:rsidRPr="006E06A1">
        <w:rPr>
          <w:rFonts w:ascii="Lucida Bright" w:hAnsi="Lucida Bright" w:cs="Arial"/>
          <w:color w:val="252525"/>
          <w:sz w:val="28"/>
          <w:szCs w:val="28"/>
          <w:shd w:val="clear" w:color="auto" w:fill="FFFFFF"/>
        </w:rPr>
        <w:t>l</w:t>
      </w:r>
      <w:r w:rsidR="00C40542" w:rsidRPr="006E06A1">
        <w:rPr>
          <w:rFonts w:ascii="Lucida Bright" w:hAnsi="Lucida Bright" w:cs="Arial"/>
          <w:color w:val="252525"/>
          <w:sz w:val="28"/>
          <w:szCs w:val="28"/>
          <w:shd w:val="clear" w:color="auto" w:fill="FFFFFF"/>
        </w:rPr>
        <w:t xml:space="preserve">th </w:t>
      </w:r>
      <w:r w:rsidR="008535C1" w:rsidRPr="006E06A1">
        <w:rPr>
          <w:rFonts w:ascii="Lucida Bright" w:hAnsi="Lucida Bright" w:cs="Arial"/>
          <w:color w:val="252525"/>
          <w:sz w:val="28"/>
          <w:szCs w:val="28"/>
          <w:shd w:val="clear" w:color="auto" w:fill="FFFFFF"/>
        </w:rPr>
        <w:t xml:space="preserve">Insurance Scheme </w:t>
      </w:r>
      <w:r w:rsidR="00C40542" w:rsidRPr="006E06A1">
        <w:rPr>
          <w:rFonts w:ascii="Lucida Bright" w:hAnsi="Lucida Bright" w:cs="Arial"/>
          <w:color w:val="252525"/>
          <w:sz w:val="28"/>
          <w:szCs w:val="28"/>
          <w:shd w:val="clear" w:color="auto" w:fill="FFFFFF"/>
        </w:rPr>
        <w:t>Act 2004</w:t>
      </w:r>
      <w:r w:rsidR="008535C1" w:rsidRPr="006E06A1">
        <w:rPr>
          <w:rFonts w:ascii="Lucida Bright" w:hAnsi="Lucida Bright" w:cs="Arial"/>
          <w:color w:val="252525"/>
          <w:sz w:val="28"/>
          <w:szCs w:val="28"/>
          <w:shd w:val="clear" w:color="auto" w:fill="FFFFFF"/>
        </w:rPr>
        <w:t>, National Health Act 2014, etc.</w:t>
      </w:r>
      <w:r w:rsidR="00C40542" w:rsidRPr="006E06A1">
        <w:rPr>
          <w:rFonts w:ascii="Lucida Bright" w:hAnsi="Lucida Bright" w:cs="Arial"/>
          <w:color w:val="252525"/>
          <w:sz w:val="28"/>
          <w:szCs w:val="28"/>
          <w:shd w:val="clear" w:color="auto" w:fill="FFFFFF"/>
        </w:rPr>
        <w:t>)</w:t>
      </w:r>
      <w:r w:rsidRPr="006E06A1">
        <w:rPr>
          <w:rFonts w:ascii="Lucida Bright" w:hAnsi="Lucida Bright" w:cs="Arial"/>
          <w:color w:val="252525"/>
          <w:sz w:val="28"/>
          <w:szCs w:val="28"/>
          <w:shd w:val="clear" w:color="auto" w:fill="FFFFFF"/>
        </w:rPr>
        <w:t xml:space="preserve">. The National Assembly enacted the African Charter on Human and Peoples' Rights (Ratification and Enforcement) Act in March 1983, effectively converting the Charter provisions to domestic law. This action has given the provisions full recognition and effect in Nigeria, and they are applied by all authorities. The Incorporating Act imported all the rights specified in the Charter, integrating them into Nigerian domestic law. This holistic incorporation prompted the </w:t>
      </w:r>
      <w:r w:rsidRPr="006E06A1">
        <w:rPr>
          <w:rFonts w:ascii="Lucida Bright" w:hAnsi="Lucida Bright" w:cs="Arial"/>
          <w:color w:val="252525"/>
          <w:sz w:val="28"/>
          <w:szCs w:val="28"/>
          <w:shd w:val="clear" w:color="auto" w:fill="FFFFFF"/>
        </w:rPr>
        <w:lastRenderedPageBreak/>
        <w:t xml:space="preserve">Supreme Court in </w:t>
      </w:r>
      <w:r w:rsidRPr="006E06A1">
        <w:rPr>
          <w:rFonts w:ascii="Lucida Bright" w:hAnsi="Lucida Bright" w:cs="Arial"/>
          <w:i/>
          <w:iCs/>
          <w:color w:val="252525"/>
          <w:sz w:val="28"/>
          <w:szCs w:val="28"/>
          <w:shd w:val="clear" w:color="auto" w:fill="FFFFFF"/>
        </w:rPr>
        <w:t xml:space="preserve">Abacha &amp; Others v </w:t>
      </w:r>
      <w:proofErr w:type="spellStart"/>
      <w:r w:rsidRPr="006E06A1">
        <w:rPr>
          <w:rFonts w:ascii="Lucida Bright" w:hAnsi="Lucida Bright" w:cs="Arial"/>
          <w:i/>
          <w:iCs/>
          <w:color w:val="252525"/>
          <w:sz w:val="28"/>
          <w:szCs w:val="28"/>
          <w:shd w:val="clear" w:color="auto" w:fill="FFFFFF"/>
        </w:rPr>
        <w:t>Fawehinmi</w:t>
      </w:r>
      <w:proofErr w:type="spellEnd"/>
      <w:r w:rsidR="009C18CC" w:rsidRPr="006E06A1">
        <w:rPr>
          <w:rStyle w:val="FootnoteReference"/>
          <w:rFonts w:ascii="Lucida Bright" w:hAnsi="Lucida Bright" w:cs="Arial"/>
          <w:i/>
          <w:iCs/>
          <w:color w:val="252525"/>
          <w:sz w:val="28"/>
          <w:szCs w:val="28"/>
          <w:shd w:val="clear" w:color="auto" w:fill="FFFFFF"/>
        </w:rPr>
        <w:footnoteReference w:id="10"/>
      </w:r>
      <w:r w:rsidRPr="006E06A1">
        <w:rPr>
          <w:rFonts w:ascii="Lucida Bright" w:hAnsi="Lucida Bright" w:cs="Arial"/>
          <w:color w:val="252525"/>
          <w:sz w:val="28"/>
          <w:szCs w:val="28"/>
          <w:shd w:val="clear" w:color="auto" w:fill="FFFFFF"/>
        </w:rPr>
        <w:t xml:space="preserve"> (2000) to conclude that a treaty enacted into law by the National Assembly becomes binding and courts must give effect to it like all other laws falling within the judicial power of courts. </w:t>
      </w:r>
      <w:proofErr w:type="spellStart"/>
      <w:r w:rsidRPr="006E06A1">
        <w:rPr>
          <w:rFonts w:ascii="Lucida Bright" w:hAnsi="Lucida Bright" w:cs="Arial"/>
          <w:i/>
          <w:iCs/>
          <w:color w:val="252525"/>
          <w:sz w:val="28"/>
          <w:szCs w:val="28"/>
          <w:shd w:val="clear" w:color="auto" w:fill="FFFFFF"/>
        </w:rPr>
        <w:t>Nemi</w:t>
      </w:r>
      <w:proofErr w:type="spellEnd"/>
      <w:r w:rsidRPr="006E06A1">
        <w:rPr>
          <w:rFonts w:ascii="Lucida Bright" w:hAnsi="Lucida Bright" w:cs="Arial"/>
          <w:i/>
          <w:iCs/>
          <w:color w:val="252525"/>
          <w:sz w:val="28"/>
          <w:szCs w:val="28"/>
          <w:shd w:val="clear" w:color="auto" w:fill="FFFFFF"/>
        </w:rPr>
        <w:t xml:space="preserve"> v. The State</w:t>
      </w:r>
      <w:r w:rsidR="009C18CC" w:rsidRPr="006E06A1">
        <w:rPr>
          <w:rStyle w:val="FootnoteReference"/>
          <w:rFonts w:ascii="Lucida Bright" w:hAnsi="Lucida Bright" w:cs="Arial"/>
          <w:i/>
          <w:iCs/>
          <w:color w:val="252525"/>
          <w:sz w:val="28"/>
          <w:szCs w:val="28"/>
          <w:shd w:val="clear" w:color="auto" w:fill="FFFFFF"/>
        </w:rPr>
        <w:footnoteReference w:id="11"/>
      </w:r>
      <w:r w:rsidR="009C18CC" w:rsidRPr="006E06A1">
        <w:rPr>
          <w:rFonts w:ascii="Lucida Bright" w:hAnsi="Lucida Bright" w:cs="Arial"/>
          <w:i/>
          <w:iCs/>
          <w:color w:val="252525"/>
          <w:sz w:val="28"/>
          <w:szCs w:val="28"/>
          <w:shd w:val="clear" w:color="auto" w:fill="FFFFFF"/>
        </w:rPr>
        <w:t xml:space="preserve"> </w:t>
      </w:r>
      <w:r w:rsidRPr="006E06A1">
        <w:rPr>
          <w:rFonts w:ascii="Lucida Bright" w:hAnsi="Lucida Bright" w:cs="Arial"/>
          <w:color w:val="252525"/>
          <w:sz w:val="28"/>
          <w:szCs w:val="28"/>
          <w:shd w:val="clear" w:color="auto" w:fill="FFFFFF"/>
        </w:rPr>
        <w:t xml:space="preserve">affirms that the Charter has become part of Nigerian domestic law, and the enforcement of its provisions falls within the judicial powers of courts as provided by the Constitution and all other laws relating thereto. These cases are important for concretizing the domestic and foreign courts' jurisdiction, </w:t>
      </w:r>
      <w:r w:rsidR="008535C1" w:rsidRPr="006E06A1">
        <w:rPr>
          <w:rFonts w:ascii="Lucida Bright" w:hAnsi="Lucida Bright" w:cs="Arial"/>
          <w:color w:val="252525"/>
          <w:sz w:val="28"/>
          <w:szCs w:val="28"/>
          <w:shd w:val="clear" w:color="auto" w:fill="FFFFFF"/>
        </w:rPr>
        <w:t>seized</w:t>
      </w:r>
      <w:r w:rsidRPr="006E06A1">
        <w:rPr>
          <w:rFonts w:ascii="Lucida Bright" w:hAnsi="Lucida Bright" w:cs="Arial"/>
          <w:color w:val="252525"/>
          <w:sz w:val="28"/>
          <w:szCs w:val="28"/>
          <w:shd w:val="clear" w:color="auto" w:fill="FFFFFF"/>
        </w:rPr>
        <w:t xml:space="preserve"> with matters entrenched in Chapter II of the Constitution, to exercise jurisdiction so long as the rights being invoked are also recognized by the Charter</w:t>
      </w:r>
      <w:r w:rsidR="009C18CC" w:rsidRPr="006E06A1">
        <w:rPr>
          <w:rFonts w:ascii="Lucida Bright" w:hAnsi="Lucida Bright" w:cs="Arial"/>
          <w:color w:val="252525"/>
          <w:sz w:val="28"/>
          <w:szCs w:val="28"/>
          <w:shd w:val="clear" w:color="auto" w:fill="FFFFFF"/>
        </w:rPr>
        <w:t xml:space="preserve"> – see </w:t>
      </w:r>
      <w:r w:rsidR="009C18CC" w:rsidRPr="006E06A1">
        <w:rPr>
          <w:rFonts w:ascii="Lucida Bright" w:hAnsi="Lucida Bright" w:cs="Arial"/>
          <w:i/>
          <w:iCs/>
          <w:color w:val="252525"/>
          <w:sz w:val="28"/>
          <w:szCs w:val="28"/>
          <w:shd w:val="clear" w:color="auto" w:fill="FFFFFF"/>
        </w:rPr>
        <w:t>Attorney-General of Ondo State v. Attorney-</w:t>
      </w:r>
      <w:proofErr w:type="spellStart"/>
      <w:r w:rsidR="009C18CC" w:rsidRPr="006E06A1">
        <w:rPr>
          <w:rFonts w:ascii="Lucida Bright" w:hAnsi="Lucida Bright" w:cs="Arial"/>
          <w:i/>
          <w:iCs/>
          <w:color w:val="252525"/>
          <w:sz w:val="28"/>
          <w:szCs w:val="28"/>
          <w:shd w:val="clear" w:color="auto" w:fill="FFFFFF"/>
        </w:rPr>
        <w:t>Genaral</w:t>
      </w:r>
      <w:proofErr w:type="spellEnd"/>
      <w:r w:rsidR="009C18CC" w:rsidRPr="006E06A1">
        <w:rPr>
          <w:rFonts w:ascii="Lucida Bright" w:hAnsi="Lucida Bright" w:cs="Arial"/>
          <w:i/>
          <w:iCs/>
          <w:color w:val="252525"/>
          <w:sz w:val="28"/>
          <w:szCs w:val="28"/>
          <w:shd w:val="clear" w:color="auto" w:fill="FFFFFF"/>
        </w:rPr>
        <w:t xml:space="preserve"> of the Federation &amp; </w:t>
      </w:r>
      <w:proofErr w:type="spellStart"/>
      <w:r w:rsidR="009C18CC" w:rsidRPr="006E06A1">
        <w:rPr>
          <w:rFonts w:ascii="Lucida Bright" w:hAnsi="Lucida Bright" w:cs="Arial"/>
          <w:i/>
          <w:iCs/>
          <w:color w:val="252525"/>
          <w:sz w:val="28"/>
          <w:szCs w:val="28"/>
          <w:shd w:val="clear" w:color="auto" w:fill="FFFFFF"/>
        </w:rPr>
        <w:t>Ors</w:t>
      </w:r>
      <w:proofErr w:type="spellEnd"/>
      <w:r w:rsidR="009C18CC" w:rsidRPr="006E06A1">
        <w:rPr>
          <w:rStyle w:val="FootnoteReference"/>
          <w:rFonts w:ascii="Lucida Bright" w:hAnsi="Lucida Bright" w:cs="Arial"/>
          <w:i/>
          <w:iCs/>
          <w:color w:val="252525"/>
          <w:sz w:val="28"/>
          <w:szCs w:val="28"/>
          <w:shd w:val="clear" w:color="auto" w:fill="FFFFFF"/>
        </w:rPr>
        <w:footnoteReference w:id="12"/>
      </w:r>
      <w:r w:rsidRPr="006E06A1">
        <w:rPr>
          <w:rFonts w:ascii="Lucida Bright" w:hAnsi="Lucida Bright" w:cs="Arial"/>
          <w:color w:val="252525"/>
          <w:sz w:val="28"/>
          <w:szCs w:val="28"/>
          <w:shd w:val="clear" w:color="auto" w:fill="FFFFFF"/>
        </w:rPr>
        <w:t xml:space="preserve">. </w:t>
      </w:r>
      <w:r w:rsidR="008E07F3" w:rsidRPr="006E06A1">
        <w:rPr>
          <w:rFonts w:ascii="Lucida Bright" w:hAnsi="Lucida Bright" w:cs="Arial"/>
          <w:color w:val="252525"/>
          <w:sz w:val="28"/>
          <w:szCs w:val="28"/>
          <w:shd w:val="clear" w:color="auto" w:fill="FFFFFF"/>
        </w:rPr>
        <w:t xml:space="preserve"> The previous paragraphs show that, Nigeria of today is gradually shifting its paradigm from the non-</w:t>
      </w:r>
      <w:proofErr w:type="spellStart"/>
      <w:r w:rsidR="008E07F3" w:rsidRPr="006E06A1">
        <w:rPr>
          <w:rFonts w:ascii="Lucida Bright" w:hAnsi="Lucida Bright" w:cs="Arial"/>
          <w:color w:val="252525"/>
          <w:sz w:val="28"/>
          <w:szCs w:val="28"/>
          <w:shd w:val="clear" w:color="auto" w:fill="FFFFFF"/>
        </w:rPr>
        <w:t>justiciability</w:t>
      </w:r>
      <w:proofErr w:type="spellEnd"/>
      <w:r w:rsidR="008E07F3" w:rsidRPr="006E06A1">
        <w:rPr>
          <w:rFonts w:ascii="Lucida Bright" w:hAnsi="Lucida Bright" w:cs="Arial"/>
          <w:color w:val="252525"/>
          <w:sz w:val="28"/>
          <w:szCs w:val="28"/>
          <w:shd w:val="clear" w:color="auto" w:fill="FFFFFF"/>
        </w:rPr>
        <w:t xml:space="preserve"> posture in respect of the socioeconomic rights as contained in chapter II of the Constitution of the Federal Republic of Nigeria 1999 (as amended), to a more liberal position by enacting enabling laws in respect of </w:t>
      </w:r>
      <w:proofErr w:type="spellStart"/>
      <w:r w:rsidR="008E07F3" w:rsidRPr="006E06A1">
        <w:rPr>
          <w:rFonts w:ascii="Lucida Bright" w:hAnsi="Lucida Bright" w:cs="Arial"/>
          <w:color w:val="252525"/>
          <w:sz w:val="28"/>
          <w:szCs w:val="28"/>
          <w:shd w:val="clear" w:color="auto" w:fill="FFFFFF"/>
        </w:rPr>
        <w:t>justiciability</w:t>
      </w:r>
      <w:proofErr w:type="spellEnd"/>
      <w:r w:rsidR="008E07F3" w:rsidRPr="006E06A1">
        <w:rPr>
          <w:rFonts w:ascii="Lucida Bright" w:hAnsi="Lucida Bright" w:cs="Arial"/>
          <w:color w:val="252525"/>
          <w:sz w:val="28"/>
          <w:szCs w:val="28"/>
          <w:shd w:val="clear" w:color="auto" w:fill="FFFFFF"/>
        </w:rPr>
        <w:t xml:space="preserve"> of some of th</w:t>
      </w:r>
      <w:r w:rsidR="008535C1" w:rsidRPr="006E06A1">
        <w:rPr>
          <w:rFonts w:ascii="Lucida Bright" w:hAnsi="Lucida Bright" w:cs="Arial"/>
          <w:color w:val="252525"/>
          <w:sz w:val="28"/>
          <w:szCs w:val="28"/>
          <w:shd w:val="clear" w:color="auto" w:fill="FFFFFF"/>
        </w:rPr>
        <w:t>e rights contained in the Chapter</w:t>
      </w:r>
      <w:r w:rsidR="008E07F3" w:rsidRPr="006E06A1">
        <w:rPr>
          <w:rFonts w:ascii="Lucida Bright" w:hAnsi="Lucida Bright" w:cs="Arial"/>
          <w:color w:val="252525"/>
          <w:sz w:val="28"/>
          <w:szCs w:val="28"/>
          <w:shd w:val="clear" w:color="auto" w:fill="FFFFFF"/>
        </w:rPr>
        <w:t>.</w:t>
      </w:r>
    </w:p>
    <w:p w:rsidR="008E07F3" w:rsidRPr="006E06A1" w:rsidRDefault="00443CFC" w:rsidP="008535C1">
      <w:pPr>
        <w:spacing w:line="360" w:lineRule="auto"/>
        <w:jc w:val="both"/>
        <w:rPr>
          <w:rFonts w:ascii="Lucida Bright" w:hAnsi="Lucida Bright" w:cs="Arial"/>
          <w:b/>
          <w:bCs/>
          <w:color w:val="252525"/>
          <w:sz w:val="28"/>
          <w:szCs w:val="28"/>
          <w:u w:val="single"/>
          <w:shd w:val="clear" w:color="auto" w:fill="FFFFFF"/>
        </w:rPr>
      </w:pPr>
      <w:r w:rsidRPr="006E06A1">
        <w:rPr>
          <w:rFonts w:ascii="Lucida Bright" w:hAnsi="Lucida Bright" w:cs="Arial"/>
          <w:b/>
          <w:bCs/>
          <w:color w:val="252525"/>
          <w:sz w:val="28"/>
          <w:szCs w:val="28"/>
          <w:u w:val="single"/>
          <w:shd w:val="clear" w:color="auto" w:fill="FFFFFF"/>
        </w:rPr>
        <w:t>The Meaning and Scope of Right to Health</w:t>
      </w:r>
    </w:p>
    <w:p w:rsidR="004F16A7" w:rsidRDefault="008E07F3" w:rsidP="008535C1">
      <w:pPr>
        <w:spacing w:line="360" w:lineRule="auto"/>
        <w:jc w:val="both"/>
        <w:rPr>
          <w:rFonts w:ascii="Lucida Bright" w:hAnsi="Lucida Bright" w:cs="Arial"/>
          <w:color w:val="252525"/>
          <w:sz w:val="28"/>
          <w:szCs w:val="28"/>
          <w:shd w:val="clear" w:color="auto" w:fill="FFFFFF"/>
        </w:rPr>
      </w:pPr>
      <w:r w:rsidRPr="006E06A1">
        <w:rPr>
          <w:rFonts w:ascii="Lucida Bright" w:hAnsi="Lucida Bright" w:cs="Arial"/>
          <w:color w:val="252525"/>
          <w:sz w:val="28"/>
          <w:szCs w:val="28"/>
          <w:shd w:val="clear" w:color="auto" w:fill="FFFFFF"/>
        </w:rPr>
        <w:t xml:space="preserve">The Universal Declaration of Human Rights (UDHR) became the first international instrument to recognize the right to health, providing that everyone has the right to a standard of living adequate for the health and well-being of themselves and their family, including food, </w:t>
      </w:r>
      <w:r w:rsidRPr="006E06A1">
        <w:rPr>
          <w:rFonts w:ascii="Lucida Bright" w:hAnsi="Lucida Bright" w:cs="Arial"/>
          <w:color w:val="252525"/>
          <w:sz w:val="28"/>
          <w:szCs w:val="28"/>
          <w:shd w:val="clear" w:color="auto" w:fill="FFFFFF"/>
        </w:rPr>
        <w:lastRenderedPageBreak/>
        <w:t xml:space="preserve">clothing, housing, medical care, and necessary social services. The International Covenant on Economic, Social and Cultural Rights (ICESCR) was adopted in 1966 and entered into force in 1976. It states that state parties to the covenant should take steps to utilize their available resources to achieve the full realization of these rights by all appropriate means, including the adoption of legislative measures. The three regional levels' human rights instruments recognize the right to health: </w:t>
      </w:r>
      <w:r w:rsidR="008535C1" w:rsidRPr="006E06A1">
        <w:rPr>
          <w:rFonts w:ascii="Lucida Bright" w:hAnsi="Lucida Bright" w:cs="Arial"/>
          <w:color w:val="252525"/>
          <w:sz w:val="28"/>
          <w:szCs w:val="28"/>
          <w:shd w:val="clear" w:color="auto" w:fill="FFFFFF"/>
        </w:rPr>
        <w:t>The</w:t>
      </w:r>
      <w:r w:rsidRPr="006E06A1">
        <w:rPr>
          <w:rFonts w:ascii="Lucida Bright" w:hAnsi="Lucida Bright" w:cs="Arial"/>
          <w:color w:val="252525"/>
          <w:sz w:val="28"/>
          <w:szCs w:val="28"/>
          <w:shd w:val="clear" w:color="auto" w:fill="FFFFFF"/>
        </w:rPr>
        <w:t xml:space="preserve"> European Social Charter, the American Convention on Human Rights, and th</w:t>
      </w:r>
      <w:r w:rsidR="008535C1" w:rsidRPr="006E06A1">
        <w:rPr>
          <w:rFonts w:ascii="Lucida Bright" w:hAnsi="Lucida Bright" w:cs="Arial"/>
          <w:color w:val="252525"/>
          <w:sz w:val="28"/>
          <w:szCs w:val="28"/>
          <w:shd w:val="clear" w:color="auto" w:fill="FFFFFF"/>
        </w:rPr>
        <w:t xml:space="preserve">e San Salvador Protocol to the </w:t>
      </w:r>
      <w:r w:rsidRPr="006E06A1">
        <w:rPr>
          <w:rFonts w:ascii="Lucida Bright" w:hAnsi="Lucida Bright" w:cs="Arial"/>
          <w:color w:val="252525"/>
          <w:sz w:val="28"/>
          <w:szCs w:val="28"/>
          <w:shd w:val="clear" w:color="auto" w:fill="FFFFFF"/>
        </w:rPr>
        <w:t xml:space="preserve">ACHR. The African Charter on Human and Peoples Rights guarantees healthcare, food, water, and social security to all citizens, including reproductive health care, sufficient food and water, and social security. The right to health also contains certain "composite-rights," such as the right to a system of health protection providing equality of opportunity for everyone to enjoy the highest attainable level of health; the right to prevention, treatment, and control of diseases and access to essential medicines. </w:t>
      </w:r>
    </w:p>
    <w:p w:rsidR="006E06A1" w:rsidRPr="006E06A1" w:rsidRDefault="006E06A1" w:rsidP="008535C1">
      <w:pPr>
        <w:spacing w:line="360" w:lineRule="auto"/>
        <w:jc w:val="both"/>
        <w:rPr>
          <w:rFonts w:ascii="Lucida Bright" w:hAnsi="Lucida Bright" w:cs="Arial"/>
          <w:color w:val="252525"/>
          <w:sz w:val="28"/>
          <w:szCs w:val="28"/>
          <w:shd w:val="clear" w:color="auto" w:fill="FFFFFF"/>
        </w:rPr>
      </w:pPr>
    </w:p>
    <w:p w:rsidR="00BB3FB7" w:rsidRPr="006E06A1" w:rsidRDefault="00D303ED" w:rsidP="008535C1">
      <w:pPr>
        <w:autoSpaceDE w:val="0"/>
        <w:autoSpaceDN w:val="0"/>
        <w:adjustRightInd w:val="0"/>
        <w:spacing w:after="0" w:line="360" w:lineRule="auto"/>
        <w:rPr>
          <w:rFonts w:ascii="Lucida Bright" w:hAnsi="Lucida Bright" w:cs="Times New Roman"/>
          <w:b/>
          <w:bCs/>
          <w:sz w:val="28"/>
          <w:szCs w:val="28"/>
          <w:u w:val="single"/>
        </w:rPr>
      </w:pPr>
      <w:r w:rsidRPr="006E06A1">
        <w:rPr>
          <w:rFonts w:ascii="Lucida Bright" w:hAnsi="Lucida Bright" w:cs="Times New Roman"/>
          <w:b/>
          <w:bCs/>
          <w:sz w:val="28"/>
          <w:szCs w:val="28"/>
          <w:u w:val="single"/>
        </w:rPr>
        <w:t xml:space="preserve">Right to Health Under the African Charter on Human and Peoples Rights </w:t>
      </w:r>
      <w:r w:rsidR="00BB3FB7" w:rsidRPr="006E06A1">
        <w:rPr>
          <w:rFonts w:ascii="Lucida Bright" w:hAnsi="Lucida Bright" w:cs="Times New Roman"/>
          <w:b/>
          <w:bCs/>
          <w:sz w:val="28"/>
          <w:szCs w:val="28"/>
          <w:u w:val="single"/>
        </w:rPr>
        <w:t>(ACHPR</w:t>
      </w:r>
      <w:r w:rsidRPr="006E06A1">
        <w:rPr>
          <w:rFonts w:ascii="Lucida Bright" w:hAnsi="Lucida Bright" w:cs="Times New Roman"/>
          <w:b/>
          <w:bCs/>
          <w:sz w:val="28"/>
          <w:szCs w:val="28"/>
          <w:u w:val="single"/>
        </w:rPr>
        <w:t>)</w:t>
      </w:r>
    </w:p>
    <w:p w:rsidR="00BB3FB7" w:rsidRPr="006E06A1" w:rsidRDefault="00BB3FB7" w:rsidP="008535C1">
      <w:pPr>
        <w:autoSpaceDE w:val="0"/>
        <w:autoSpaceDN w:val="0"/>
        <w:adjustRightInd w:val="0"/>
        <w:spacing w:after="0" w:line="360" w:lineRule="auto"/>
        <w:rPr>
          <w:rFonts w:ascii="Lucida Bright" w:hAnsi="Lucida Bright" w:cs="Times New Roman"/>
          <w:sz w:val="28"/>
          <w:szCs w:val="28"/>
        </w:rPr>
      </w:pPr>
    </w:p>
    <w:p w:rsidR="00DE192A" w:rsidRPr="006E06A1" w:rsidRDefault="00D303ED" w:rsidP="00DE6D74">
      <w:pPr>
        <w:autoSpaceDE w:val="0"/>
        <w:autoSpaceDN w:val="0"/>
        <w:adjustRightInd w:val="0"/>
        <w:spacing w:after="0" w:line="360" w:lineRule="auto"/>
        <w:jc w:val="both"/>
        <w:rPr>
          <w:rFonts w:ascii="Lucida Bright" w:hAnsi="Lucida Bright" w:cs="StoneSerifStd-MediumItalic"/>
          <w:sz w:val="28"/>
          <w:szCs w:val="28"/>
        </w:rPr>
      </w:pPr>
      <w:r w:rsidRPr="006E06A1">
        <w:rPr>
          <w:rFonts w:ascii="Lucida Bright" w:hAnsi="Lucida Bright" w:cs="Arial"/>
          <w:color w:val="252525"/>
          <w:sz w:val="28"/>
          <w:szCs w:val="28"/>
          <w:shd w:val="clear" w:color="auto" w:fill="FFFFFF"/>
        </w:rPr>
        <w:t xml:space="preserve">The African Charter on Human and Peoples' Rights aims to reclaim the African notion of human rights, focusing on economic and social rights, as well as the rights of peoples. The Charter provides provisions for two main types of rights: the rights of individuals and </w:t>
      </w:r>
      <w:r w:rsidRPr="006E06A1">
        <w:rPr>
          <w:rFonts w:ascii="Lucida Bright" w:hAnsi="Lucida Bright" w:cs="Arial"/>
          <w:color w:val="252525"/>
          <w:sz w:val="28"/>
          <w:szCs w:val="28"/>
          <w:shd w:val="clear" w:color="auto" w:fill="FFFFFF"/>
        </w:rPr>
        <w:lastRenderedPageBreak/>
        <w:t xml:space="preserve">the rights of peoples. The rights of peoples include all social, economic, and cultural rights in Articles 19-24. However, the African Charter does not define socio-economic rights with terms like progressive </w:t>
      </w:r>
      <w:proofErr w:type="spellStart"/>
      <w:r w:rsidRPr="006E06A1">
        <w:rPr>
          <w:rFonts w:ascii="Lucida Bright" w:hAnsi="Lucida Bright" w:cs="Arial"/>
          <w:color w:val="252525"/>
          <w:sz w:val="28"/>
          <w:szCs w:val="28"/>
          <w:shd w:val="clear" w:color="auto" w:fill="FFFFFF"/>
        </w:rPr>
        <w:t>realisation</w:t>
      </w:r>
      <w:proofErr w:type="spellEnd"/>
      <w:r w:rsidRPr="006E06A1">
        <w:rPr>
          <w:rFonts w:ascii="Lucida Bright" w:hAnsi="Lucida Bright" w:cs="Arial"/>
          <w:color w:val="252525"/>
          <w:sz w:val="28"/>
          <w:szCs w:val="28"/>
          <w:shd w:val="clear" w:color="auto" w:fill="FFFFFF"/>
        </w:rPr>
        <w:t xml:space="preserve"> and available resources. The right to health, as envisioned by the African Charter, favors an immediate rather than a progressive approach. The African Commission has not provided effective guidance on the standard for measuring compliance by states with regard to their positive obligations in relation to socio-economic rights under the Charter. In the case of </w:t>
      </w:r>
      <w:r w:rsidR="00DE6D74" w:rsidRPr="006E06A1">
        <w:rPr>
          <w:rFonts w:ascii="Lucida Bright" w:hAnsi="Lucida Bright" w:cs="StoneSerifStd-MediumItalic"/>
          <w:sz w:val="28"/>
          <w:szCs w:val="28"/>
        </w:rPr>
        <w:t>Social and Economic R</w:t>
      </w:r>
      <w:r w:rsidR="00DE6D74" w:rsidRPr="006E06A1">
        <w:rPr>
          <w:rFonts w:ascii="Lucida Bright" w:hAnsi="Lucida Bright" w:cs="StoneSerifStd-MediumItalic"/>
          <w:sz w:val="28"/>
          <w:szCs w:val="28"/>
        </w:rPr>
        <w:t xml:space="preserve">ights Action Centre (SERAC) and </w:t>
      </w:r>
      <w:r w:rsidR="00DE6D74" w:rsidRPr="006E06A1">
        <w:rPr>
          <w:rFonts w:ascii="Lucida Bright" w:hAnsi="Lucida Bright" w:cs="StoneSerifStd-MediumItalic"/>
          <w:sz w:val="28"/>
          <w:szCs w:val="28"/>
        </w:rPr>
        <w:t>the Centre for Economic and Social Rights (CESCR) v Nigeria</w:t>
      </w:r>
      <w:r w:rsidR="00DE6D74" w:rsidRPr="006E06A1">
        <w:rPr>
          <w:rStyle w:val="FootnoteReference"/>
          <w:rFonts w:ascii="Lucida Bright" w:hAnsi="Lucida Bright" w:cs="Arial"/>
          <w:color w:val="252525"/>
          <w:sz w:val="28"/>
          <w:szCs w:val="28"/>
          <w:shd w:val="clear" w:color="auto" w:fill="FFFFFF"/>
        </w:rPr>
        <w:footnoteReference w:id="13"/>
      </w:r>
      <w:r w:rsidRPr="006E06A1">
        <w:rPr>
          <w:rFonts w:ascii="Lucida Bright" w:hAnsi="Lucida Bright" w:cs="Arial"/>
          <w:color w:val="252525"/>
          <w:sz w:val="28"/>
          <w:szCs w:val="28"/>
          <w:shd w:val="clear" w:color="auto" w:fill="FFFFFF"/>
        </w:rPr>
        <w:t>, the Commission did not provide effective guidance on the standard for measuring compliance by states with regard to their positive obligations in relation to socio-economic rights under the Charter. In Free Legal Assistance Group and Others v Zaire</w:t>
      </w:r>
      <w:r w:rsidR="00EB0ABC" w:rsidRPr="006E06A1">
        <w:rPr>
          <w:rStyle w:val="FootnoteReference"/>
          <w:rFonts w:ascii="Lucida Bright" w:hAnsi="Lucida Bright" w:cs="Arial"/>
          <w:color w:val="252525"/>
          <w:sz w:val="28"/>
          <w:szCs w:val="28"/>
          <w:shd w:val="clear" w:color="auto" w:fill="FFFFFF"/>
        </w:rPr>
        <w:footnoteReference w:id="14"/>
      </w:r>
      <w:r w:rsidRPr="006E06A1">
        <w:rPr>
          <w:rFonts w:ascii="Lucida Bright" w:hAnsi="Lucida Bright" w:cs="Arial"/>
          <w:color w:val="252525"/>
          <w:sz w:val="28"/>
          <w:szCs w:val="28"/>
          <w:shd w:val="clear" w:color="auto" w:fill="FFFFFF"/>
        </w:rPr>
        <w:t xml:space="preserve">, the African Commission held that the failure of the Government of Zaire to provide basic services necessary for a minimum standard of health constituted a violation of the right to enjoy the best attainable state of physical and mental health and the obligation of the State to take the necessary measures to protect the health of its people as set out in Article 16 of the ACHPR. The Commission provided guidance on what might be included in a minimum core for the right to health and recognized the interrelatedness of the right to health to other underlying </w:t>
      </w:r>
      <w:r w:rsidRPr="006E06A1">
        <w:rPr>
          <w:rFonts w:ascii="Lucida Bright" w:hAnsi="Lucida Bright" w:cs="Arial"/>
          <w:color w:val="252525"/>
          <w:sz w:val="28"/>
          <w:szCs w:val="28"/>
          <w:shd w:val="clear" w:color="auto" w:fill="FFFFFF"/>
        </w:rPr>
        <w:lastRenderedPageBreak/>
        <w:t xml:space="preserve">determinants. In the case of </w:t>
      </w:r>
      <w:proofErr w:type="spellStart"/>
      <w:r w:rsidR="008C0938" w:rsidRPr="006E06A1">
        <w:rPr>
          <w:rFonts w:ascii="Lucida Bright" w:hAnsi="Lucida Bright" w:cs="Arial"/>
          <w:color w:val="252525"/>
          <w:sz w:val="28"/>
          <w:szCs w:val="28"/>
          <w:shd w:val="clear" w:color="auto" w:fill="FFFFFF"/>
        </w:rPr>
        <w:t>Prochit</w:t>
      </w:r>
      <w:proofErr w:type="spellEnd"/>
      <w:r w:rsidRPr="006E06A1">
        <w:rPr>
          <w:rFonts w:ascii="Lucida Bright" w:hAnsi="Lucida Bright" w:cs="Arial"/>
          <w:color w:val="252525"/>
          <w:sz w:val="28"/>
          <w:szCs w:val="28"/>
          <w:shd w:val="clear" w:color="auto" w:fill="FFFFFF"/>
        </w:rPr>
        <w:t xml:space="preserve"> and Moore v The Gambia</w:t>
      </w:r>
      <w:r w:rsidR="00D8772A" w:rsidRPr="006E06A1">
        <w:rPr>
          <w:rStyle w:val="FootnoteReference"/>
          <w:rFonts w:ascii="Lucida Bright" w:hAnsi="Lucida Bright" w:cs="Arial"/>
          <w:color w:val="252525"/>
          <w:sz w:val="28"/>
          <w:szCs w:val="28"/>
          <w:shd w:val="clear" w:color="auto" w:fill="FFFFFF"/>
        </w:rPr>
        <w:footnoteReference w:id="15"/>
      </w:r>
      <w:r w:rsidRPr="006E06A1">
        <w:rPr>
          <w:rFonts w:ascii="Lucida Bright" w:hAnsi="Lucida Bright" w:cs="Arial"/>
          <w:color w:val="252525"/>
          <w:sz w:val="28"/>
          <w:szCs w:val="28"/>
          <w:shd w:val="clear" w:color="auto" w:fill="FFFFFF"/>
        </w:rPr>
        <w:t xml:space="preserve">, the African Commission provided a more comprehensive definition of the right to health under the African Charter and elaborated on the nature of positive obligations of State parties in relation to socio-economic rights in general. The Commission found that the Gambia was in violation of numerous Charter rights, including the right to health. Mental health patients, according to the African Commission, deserve special treatment because of their condition and by virtue of their disability. The Commission also noted the prohibiting effect limited resources may have for the realization of health rights and commented on the realities that African countries face in their aim to </w:t>
      </w:r>
      <w:r w:rsidR="00DE192A" w:rsidRPr="006E06A1">
        <w:rPr>
          <w:rFonts w:ascii="Lucida Bright" w:hAnsi="Lucida Bright" w:cs="Arial"/>
          <w:color w:val="252525"/>
          <w:sz w:val="28"/>
          <w:szCs w:val="28"/>
          <w:shd w:val="clear" w:color="auto" w:fill="FFFFFF"/>
        </w:rPr>
        <w:t>fulfil</w:t>
      </w:r>
      <w:r w:rsidRPr="006E06A1">
        <w:rPr>
          <w:rFonts w:ascii="Lucida Bright" w:hAnsi="Lucida Bright" w:cs="Arial"/>
          <w:color w:val="252525"/>
          <w:sz w:val="28"/>
          <w:szCs w:val="28"/>
          <w:shd w:val="clear" w:color="auto" w:fill="FFFFFF"/>
        </w:rPr>
        <w:t xml:space="preserve"> their human rights obligations. The Commission would like to read into Article 16 the obligation on the part of State parties to take concrete and targeted steps, while taking full advantage of its available resources to ensure that the right to health is fully realized in all its aspects without discrimination. The interrelatedness and interdependency of human rights are emphasized by the Commission, which describes the right to health as vital to all aspects of a person's life and well-being, as well as crucial for the </w:t>
      </w:r>
      <w:proofErr w:type="spellStart"/>
      <w:r w:rsidRPr="006E06A1">
        <w:rPr>
          <w:rFonts w:ascii="Lucida Bright" w:hAnsi="Lucida Bright" w:cs="Arial"/>
          <w:color w:val="252525"/>
          <w:sz w:val="28"/>
          <w:szCs w:val="28"/>
          <w:shd w:val="clear" w:color="auto" w:fill="FFFFFF"/>
        </w:rPr>
        <w:t>realisation</w:t>
      </w:r>
      <w:proofErr w:type="spellEnd"/>
      <w:r w:rsidRPr="006E06A1">
        <w:rPr>
          <w:rFonts w:ascii="Lucida Bright" w:hAnsi="Lucida Bright" w:cs="Arial"/>
          <w:color w:val="252525"/>
          <w:sz w:val="28"/>
          <w:szCs w:val="28"/>
          <w:shd w:val="clear" w:color="auto" w:fill="FFFFFF"/>
        </w:rPr>
        <w:t xml:space="preserve"> of all other fundamental human rights and freedoms.</w:t>
      </w:r>
    </w:p>
    <w:p w:rsidR="00D8772A" w:rsidRPr="006E06A1" w:rsidRDefault="00D8772A" w:rsidP="008535C1">
      <w:pPr>
        <w:autoSpaceDE w:val="0"/>
        <w:autoSpaceDN w:val="0"/>
        <w:adjustRightInd w:val="0"/>
        <w:spacing w:after="0" w:line="360" w:lineRule="auto"/>
        <w:rPr>
          <w:rFonts w:ascii="Lucida Bright" w:hAnsi="Lucida Bright" w:cs="StoneSerifStd-Medium"/>
          <w:b/>
          <w:bCs/>
          <w:sz w:val="28"/>
          <w:szCs w:val="28"/>
          <w:u w:val="single"/>
        </w:rPr>
      </w:pPr>
    </w:p>
    <w:p w:rsidR="00D303ED" w:rsidRPr="006E06A1" w:rsidRDefault="00DE192A" w:rsidP="008535C1">
      <w:pPr>
        <w:autoSpaceDE w:val="0"/>
        <w:autoSpaceDN w:val="0"/>
        <w:adjustRightInd w:val="0"/>
        <w:spacing w:after="0" w:line="360" w:lineRule="auto"/>
        <w:rPr>
          <w:rFonts w:ascii="Lucida Bright" w:hAnsi="Lucida Bright" w:cs="StoneSerifStd-Medium"/>
          <w:b/>
          <w:bCs/>
          <w:sz w:val="28"/>
          <w:szCs w:val="28"/>
          <w:u w:val="single"/>
        </w:rPr>
      </w:pPr>
      <w:r w:rsidRPr="006E06A1">
        <w:rPr>
          <w:rFonts w:ascii="Lucida Bright" w:hAnsi="Lucida Bright" w:cs="StoneSerifStd-Medium"/>
          <w:b/>
          <w:bCs/>
          <w:sz w:val="28"/>
          <w:szCs w:val="28"/>
          <w:u w:val="single"/>
        </w:rPr>
        <w:t xml:space="preserve">The Case of Nigeria in </w:t>
      </w:r>
      <w:proofErr w:type="spellStart"/>
      <w:r w:rsidRPr="006E06A1">
        <w:rPr>
          <w:rFonts w:ascii="Lucida Bright" w:hAnsi="Lucida Bright" w:cs="StoneSerifStd-Medium"/>
          <w:b/>
          <w:bCs/>
          <w:sz w:val="28"/>
          <w:szCs w:val="28"/>
          <w:u w:val="single"/>
        </w:rPr>
        <w:t>Realisation</w:t>
      </w:r>
      <w:proofErr w:type="spellEnd"/>
      <w:r w:rsidRPr="006E06A1">
        <w:rPr>
          <w:rFonts w:ascii="Lucida Bright" w:hAnsi="Lucida Bright" w:cs="StoneSerifStd-Medium"/>
          <w:b/>
          <w:bCs/>
          <w:sz w:val="28"/>
          <w:szCs w:val="28"/>
          <w:u w:val="single"/>
        </w:rPr>
        <w:t xml:space="preserve"> of Right to Health</w:t>
      </w:r>
    </w:p>
    <w:p w:rsidR="00D303ED" w:rsidRPr="006E06A1" w:rsidRDefault="00D303ED" w:rsidP="008535C1">
      <w:pPr>
        <w:autoSpaceDE w:val="0"/>
        <w:autoSpaceDN w:val="0"/>
        <w:adjustRightInd w:val="0"/>
        <w:spacing w:after="0" w:line="360" w:lineRule="auto"/>
        <w:rPr>
          <w:rFonts w:ascii="Lucida Bright" w:hAnsi="Lucida Bright" w:cs="StoneSerifStd-Medium"/>
          <w:b/>
          <w:bCs/>
          <w:sz w:val="28"/>
          <w:szCs w:val="28"/>
        </w:rPr>
      </w:pPr>
    </w:p>
    <w:p w:rsidR="00F835AE" w:rsidRDefault="00D303ED" w:rsidP="006E06A1">
      <w:pPr>
        <w:autoSpaceDE w:val="0"/>
        <w:autoSpaceDN w:val="0"/>
        <w:adjustRightInd w:val="0"/>
        <w:spacing w:after="0" w:line="360" w:lineRule="auto"/>
        <w:jc w:val="both"/>
        <w:rPr>
          <w:rFonts w:ascii="Lucida Bright" w:hAnsi="Lucida Bright" w:cs="StoneSerifStd-Medium"/>
          <w:sz w:val="28"/>
          <w:szCs w:val="28"/>
        </w:rPr>
      </w:pPr>
      <w:r w:rsidRPr="006E06A1">
        <w:rPr>
          <w:rFonts w:ascii="Lucida Bright" w:hAnsi="Lucida Bright" w:cs="Arial"/>
          <w:color w:val="252525"/>
          <w:sz w:val="28"/>
          <w:szCs w:val="28"/>
          <w:shd w:val="clear" w:color="auto" w:fill="FFFFFF"/>
        </w:rPr>
        <w:t xml:space="preserve">The Nigerian Constitution provides for civil and political rights in chapter four, while social, economic, and cultural rights (including </w:t>
      </w:r>
      <w:r w:rsidRPr="006E06A1">
        <w:rPr>
          <w:rFonts w:ascii="Lucida Bright" w:hAnsi="Lucida Bright" w:cs="Arial"/>
          <w:color w:val="252525"/>
          <w:sz w:val="28"/>
          <w:szCs w:val="28"/>
          <w:shd w:val="clear" w:color="auto" w:fill="FFFFFF"/>
        </w:rPr>
        <w:lastRenderedPageBreak/>
        <w:t xml:space="preserve">the right to health) are provided for in chapter two. These rights are not considered fundamental rights but are described as Fundamental Objectives and Directive Principles of State Policy. The Nigerian government is required to observe these objectives and principles to promote the welfare and advancement of society. The absence of justiciable rights in the Nigerian Constitution makes it difficult to enforce socio-economic rights, measure the reasonableness of government actions, and determine whether the Nigerian Government is fulfilling its international obligations in terms of the ICESCR and the ACHPR. The </w:t>
      </w:r>
      <w:proofErr w:type="spellStart"/>
      <w:r w:rsidRPr="006E06A1">
        <w:rPr>
          <w:rFonts w:ascii="Lucida Bright" w:hAnsi="Lucida Bright" w:cs="Arial"/>
          <w:color w:val="252525"/>
          <w:sz w:val="28"/>
          <w:szCs w:val="28"/>
          <w:shd w:val="clear" w:color="auto" w:fill="FFFFFF"/>
        </w:rPr>
        <w:t>unjusticiability</w:t>
      </w:r>
      <w:proofErr w:type="spellEnd"/>
      <w:r w:rsidRPr="006E06A1">
        <w:rPr>
          <w:rFonts w:ascii="Lucida Bright" w:hAnsi="Lucida Bright" w:cs="Arial"/>
          <w:color w:val="252525"/>
          <w:sz w:val="28"/>
          <w:szCs w:val="28"/>
          <w:shd w:val="clear" w:color="auto" w:fill="FFFFFF"/>
        </w:rPr>
        <w:t xml:space="preserve"> of socio-economic rights renders the rights as moral precepts, fond hopes, and pious wishes. The </w:t>
      </w:r>
      <w:proofErr w:type="spellStart"/>
      <w:r w:rsidRPr="006E06A1">
        <w:rPr>
          <w:rFonts w:ascii="Lucida Bright" w:hAnsi="Lucida Bright" w:cs="Arial"/>
          <w:color w:val="252525"/>
          <w:sz w:val="28"/>
          <w:szCs w:val="28"/>
          <w:shd w:val="clear" w:color="auto" w:fill="FFFFFF"/>
        </w:rPr>
        <w:t>Supremeity</w:t>
      </w:r>
      <w:proofErr w:type="spellEnd"/>
      <w:r w:rsidRPr="006E06A1">
        <w:rPr>
          <w:rFonts w:ascii="Lucida Bright" w:hAnsi="Lucida Bright" w:cs="Arial"/>
          <w:color w:val="252525"/>
          <w:sz w:val="28"/>
          <w:szCs w:val="28"/>
          <w:shd w:val="clear" w:color="auto" w:fill="FFFFFF"/>
        </w:rPr>
        <w:t xml:space="preserve"> of the Constitution over the African Charter prevails, and courts generally do not apply or take judicial notice of the African Charter or the ICESCR when giving meaning to the fundamental rights and directive principles. Obstacles to the adjudication of socio-economic rights include considerable delay in public law litigation and no guarantee of enforcement or compliance with a judgment in cases involving the government or public officials as defendants. </w:t>
      </w:r>
      <w:proofErr w:type="spellStart"/>
      <w:r w:rsidRPr="006E06A1">
        <w:rPr>
          <w:rFonts w:ascii="Lucida Bright" w:hAnsi="Lucida Bright" w:cs="Arial"/>
          <w:color w:val="252525"/>
          <w:sz w:val="28"/>
          <w:szCs w:val="28"/>
          <w:shd w:val="clear" w:color="auto" w:fill="FFFFFF"/>
        </w:rPr>
        <w:t>Onyemelukwe</w:t>
      </w:r>
      <w:proofErr w:type="spellEnd"/>
      <w:r w:rsidR="00155E95" w:rsidRPr="006E06A1">
        <w:rPr>
          <w:rStyle w:val="FootnoteReference"/>
          <w:rFonts w:ascii="Lucida Bright" w:hAnsi="Lucida Bright" w:cs="Arial"/>
          <w:color w:val="252525"/>
          <w:sz w:val="28"/>
          <w:szCs w:val="28"/>
          <w:shd w:val="clear" w:color="auto" w:fill="FFFFFF"/>
        </w:rPr>
        <w:footnoteReference w:id="16"/>
      </w:r>
      <w:r w:rsidRPr="006E06A1">
        <w:rPr>
          <w:rFonts w:ascii="Lucida Bright" w:hAnsi="Lucida Bright" w:cs="Arial"/>
          <w:color w:val="252525"/>
          <w:sz w:val="28"/>
          <w:szCs w:val="28"/>
          <w:shd w:val="clear" w:color="auto" w:fill="FFFFFF"/>
        </w:rPr>
        <w:t xml:space="preserve"> argues that this stance in Nigerian jurisprudence effectively means that international human rights treaties offer no greater protection against human rights violations other than the safeguards accorded in the Nigerian Constitution. However, the mere non-</w:t>
      </w:r>
      <w:proofErr w:type="spellStart"/>
      <w:r w:rsidRPr="006E06A1">
        <w:rPr>
          <w:rFonts w:ascii="Lucida Bright" w:hAnsi="Lucida Bright" w:cs="Arial"/>
          <w:color w:val="252525"/>
          <w:sz w:val="28"/>
          <w:szCs w:val="28"/>
          <w:shd w:val="clear" w:color="auto" w:fill="FFFFFF"/>
        </w:rPr>
        <w:t>justiciability</w:t>
      </w:r>
      <w:proofErr w:type="spellEnd"/>
      <w:r w:rsidRPr="006E06A1">
        <w:rPr>
          <w:rFonts w:ascii="Lucida Bright" w:hAnsi="Lucida Bright" w:cs="Arial"/>
          <w:color w:val="252525"/>
          <w:sz w:val="28"/>
          <w:szCs w:val="28"/>
          <w:shd w:val="clear" w:color="auto" w:fill="FFFFFF"/>
        </w:rPr>
        <w:t xml:space="preserve"> of the chapter two rights in the Nigerian Constitution and the prohibition provided for in s 12(1) </w:t>
      </w:r>
      <w:r w:rsidRPr="006E06A1">
        <w:rPr>
          <w:rFonts w:ascii="Lucida Bright" w:hAnsi="Lucida Bright" w:cs="Arial"/>
          <w:color w:val="252525"/>
          <w:sz w:val="28"/>
          <w:szCs w:val="28"/>
          <w:shd w:val="clear" w:color="auto" w:fill="FFFFFF"/>
        </w:rPr>
        <w:lastRenderedPageBreak/>
        <w:t>against the enforceability of international law does not completely divest the right to health of all legal value for Nigerians. An excellent example of robust court action, regardless of constitutional limitations, is the case</w:t>
      </w:r>
      <w:r w:rsidR="00155E95" w:rsidRPr="006E06A1">
        <w:rPr>
          <w:rFonts w:ascii="Lucida Bright" w:hAnsi="Lucida Bright" w:cs="Arial"/>
          <w:color w:val="252525"/>
          <w:sz w:val="28"/>
          <w:szCs w:val="28"/>
          <w:shd w:val="clear" w:color="auto" w:fill="FFFFFF"/>
        </w:rPr>
        <w:t xml:space="preserve"> of Festus </w:t>
      </w:r>
      <w:proofErr w:type="spellStart"/>
      <w:r w:rsidR="00155E95" w:rsidRPr="006E06A1">
        <w:rPr>
          <w:rFonts w:ascii="Lucida Bright" w:hAnsi="Lucida Bright" w:cs="Arial"/>
          <w:color w:val="252525"/>
          <w:sz w:val="28"/>
          <w:szCs w:val="28"/>
          <w:shd w:val="clear" w:color="auto" w:fill="FFFFFF"/>
        </w:rPr>
        <w:t>Odafe</w:t>
      </w:r>
      <w:proofErr w:type="spellEnd"/>
      <w:r w:rsidR="00155E95" w:rsidRPr="006E06A1">
        <w:rPr>
          <w:rFonts w:ascii="Lucida Bright" w:hAnsi="Lucida Bright" w:cs="Arial"/>
          <w:color w:val="252525"/>
          <w:sz w:val="28"/>
          <w:szCs w:val="28"/>
          <w:shd w:val="clear" w:color="auto" w:fill="FFFFFF"/>
        </w:rPr>
        <w:t xml:space="preserve"> and Others v AG</w:t>
      </w:r>
      <w:r w:rsidRPr="006E06A1">
        <w:rPr>
          <w:rFonts w:ascii="Lucida Bright" w:hAnsi="Lucida Bright" w:cs="Arial"/>
          <w:color w:val="252525"/>
          <w:sz w:val="28"/>
          <w:szCs w:val="28"/>
          <w:shd w:val="clear" w:color="auto" w:fill="FFFFFF"/>
        </w:rPr>
        <w:t xml:space="preserve"> Federation and Others</w:t>
      </w:r>
      <w:r w:rsidR="00155E95" w:rsidRPr="006E06A1">
        <w:rPr>
          <w:rStyle w:val="FootnoteReference"/>
          <w:rFonts w:ascii="Lucida Bright" w:hAnsi="Lucida Bright" w:cs="Arial"/>
          <w:color w:val="252525"/>
          <w:sz w:val="28"/>
          <w:szCs w:val="28"/>
          <w:shd w:val="clear" w:color="auto" w:fill="FFFFFF"/>
        </w:rPr>
        <w:footnoteReference w:id="17"/>
      </w:r>
      <w:r w:rsidR="006E06A1" w:rsidRPr="006E06A1">
        <w:rPr>
          <w:rFonts w:ascii="Lucida Bright" w:hAnsi="Lucida Bright" w:cs="Arial"/>
          <w:color w:val="252525"/>
          <w:sz w:val="28"/>
          <w:szCs w:val="28"/>
          <w:shd w:val="clear" w:color="auto" w:fill="FFFFFF"/>
        </w:rPr>
        <w:t xml:space="preserve">. The </w:t>
      </w:r>
      <w:r w:rsidRPr="006E06A1">
        <w:rPr>
          <w:rFonts w:ascii="Lucida Bright" w:hAnsi="Lucida Bright" w:cs="Arial"/>
          <w:color w:val="252525"/>
          <w:sz w:val="28"/>
          <w:szCs w:val="28"/>
          <w:shd w:val="clear" w:color="auto" w:fill="FFFFFF"/>
        </w:rPr>
        <w:t>Federal</w:t>
      </w:r>
      <w:r w:rsidR="006E06A1" w:rsidRPr="006E06A1">
        <w:rPr>
          <w:rFonts w:ascii="Lucida Bright" w:hAnsi="Lucida Bright" w:cs="Arial"/>
          <w:color w:val="252525"/>
          <w:sz w:val="28"/>
          <w:szCs w:val="28"/>
          <w:shd w:val="clear" w:color="auto" w:fill="FFFFFF"/>
        </w:rPr>
        <w:t xml:space="preserve"> High</w:t>
      </w:r>
      <w:r w:rsidRPr="006E06A1">
        <w:rPr>
          <w:rFonts w:ascii="Lucida Bright" w:hAnsi="Lucida Bright" w:cs="Arial"/>
          <w:color w:val="252525"/>
          <w:sz w:val="28"/>
          <w:szCs w:val="28"/>
          <w:shd w:val="clear" w:color="auto" w:fill="FFFFFF"/>
        </w:rPr>
        <w:t xml:space="preserve"> Court relied on the ACHPR rather than the Nigerian Constitution to protect the right to health and held that Article 16(2) of the Charter requires State parties to take the necessary measures to protect the health of their people and ensure that they receive medical attention when they are sick. The trial judge ordered the authorities to relocate the detainees to a medical facility where they could receive treatment and awarded costs in their favor. </w:t>
      </w:r>
      <w:r w:rsidR="006E06A1" w:rsidRPr="006E06A1">
        <w:rPr>
          <w:rFonts w:ascii="Lucida Bright" w:hAnsi="Lucida Bright" w:cs="StoneSerifStd-Medium"/>
          <w:sz w:val="28"/>
          <w:szCs w:val="28"/>
        </w:rPr>
        <w:t>But not all Nigerian c</w:t>
      </w:r>
      <w:r w:rsidR="006E06A1" w:rsidRPr="006E06A1">
        <w:rPr>
          <w:rFonts w:ascii="Lucida Bright" w:hAnsi="Lucida Bright" w:cs="StoneSerifStd-Medium"/>
          <w:sz w:val="28"/>
          <w:szCs w:val="28"/>
        </w:rPr>
        <w:t xml:space="preserve">ourts are this free-thinking in </w:t>
      </w:r>
      <w:r w:rsidR="006E06A1" w:rsidRPr="006E06A1">
        <w:rPr>
          <w:rFonts w:ascii="Lucida Bright" w:hAnsi="Lucida Bright" w:cs="StoneSerifStd-Medium"/>
          <w:sz w:val="28"/>
          <w:szCs w:val="28"/>
        </w:rPr>
        <w:t>their approach to matters concerning healt</w:t>
      </w:r>
      <w:r w:rsidR="006E06A1" w:rsidRPr="006E06A1">
        <w:rPr>
          <w:rFonts w:ascii="Lucida Bright" w:hAnsi="Lucida Bright" w:cs="StoneSerifStd-Medium"/>
          <w:sz w:val="28"/>
          <w:szCs w:val="28"/>
        </w:rPr>
        <w:t xml:space="preserve">h law and rights. A court in </w:t>
      </w:r>
      <w:r w:rsidR="006E06A1" w:rsidRPr="006E06A1">
        <w:rPr>
          <w:rFonts w:ascii="Lucida Bright" w:hAnsi="Lucida Bright" w:cs="StoneSerifStd-Medium"/>
          <w:sz w:val="28"/>
          <w:szCs w:val="28"/>
        </w:rPr>
        <w:t>Nigeria, for example, has barred a HIV</w:t>
      </w:r>
      <w:r w:rsidR="006E06A1" w:rsidRPr="006E06A1">
        <w:rPr>
          <w:rFonts w:ascii="Lucida Bright" w:hAnsi="Lucida Bright" w:cs="StoneSerifStd-Medium"/>
          <w:sz w:val="28"/>
          <w:szCs w:val="28"/>
        </w:rPr>
        <w:t xml:space="preserve"> positive person from attending </w:t>
      </w:r>
      <w:r w:rsidR="006E06A1" w:rsidRPr="006E06A1">
        <w:rPr>
          <w:rFonts w:ascii="Lucida Bright" w:hAnsi="Lucida Bright" w:cs="StoneSerifStd-Medium"/>
          <w:sz w:val="28"/>
          <w:szCs w:val="28"/>
        </w:rPr>
        <w:t xml:space="preserve">a trial in which she was a party, based on </w:t>
      </w:r>
      <w:r w:rsidR="006E06A1" w:rsidRPr="006E06A1">
        <w:rPr>
          <w:rFonts w:ascii="Lucida Bright" w:hAnsi="Lucida Bright" w:cs="StoneSerifStd-Medium"/>
          <w:sz w:val="28"/>
          <w:szCs w:val="28"/>
        </w:rPr>
        <w:t xml:space="preserve">the risk of her infecting other </w:t>
      </w:r>
      <w:r w:rsidR="006E06A1" w:rsidRPr="006E06A1">
        <w:rPr>
          <w:rFonts w:ascii="Lucida Bright" w:hAnsi="Lucida Bright" w:cs="StoneSerifStd-Medium"/>
          <w:sz w:val="28"/>
          <w:szCs w:val="28"/>
        </w:rPr>
        <w:t>people in the courtroom</w:t>
      </w:r>
      <w:r w:rsidR="006E06A1" w:rsidRPr="006E06A1">
        <w:rPr>
          <w:rFonts w:ascii="Lucida Bright" w:hAnsi="Lucida Bright" w:cs="StoneSerifStd-Medium"/>
          <w:sz w:val="28"/>
          <w:szCs w:val="28"/>
        </w:rPr>
        <w:t>.</w:t>
      </w:r>
      <w:r w:rsidR="006E06A1" w:rsidRPr="006E06A1">
        <w:rPr>
          <w:rStyle w:val="FootnoteReference"/>
          <w:rFonts w:ascii="Lucida Bright" w:hAnsi="Lucida Bright" w:cs="StoneSerifStd-Medium"/>
          <w:sz w:val="28"/>
          <w:szCs w:val="28"/>
        </w:rPr>
        <w:footnoteReference w:id="18"/>
      </w:r>
    </w:p>
    <w:p w:rsidR="006E06A1" w:rsidRPr="006E06A1" w:rsidRDefault="006E06A1" w:rsidP="006E06A1">
      <w:pPr>
        <w:autoSpaceDE w:val="0"/>
        <w:autoSpaceDN w:val="0"/>
        <w:adjustRightInd w:val="0"/>
        <w:spacing w:after="0" w:line="360" w:lineRule="auto"/>
        <w:jc w:val="both"/>
        <w:rPr>
          <w:rFonts w:ascii="Lucida Bright" w:hAnsi="Lucida Bright" w:cs="StoneSerifStd-Medium"/>
          <w:sz w:val="28"/>
          <w:szCs w:val="28"/>
        </w:rPr>
      </w:pPr>
    </w:p>
    <w:p w:rsidR="00F835AE" w:rsidRPr="006E06A1" w:rsidRDefault="00DE192A" w:rsidP="008535C1">
      <w:pPr>
        <w:spacing w:line="360" w:lineRule="auto"/>
        <w:jc w:val="both"/>
        <w:rPr>
          <w:rFonts w:ascii="Lucida Bright" w:hAnsi="Lucida Bright"/>
          <w:b/>
          <w:bCs/>
          <w:sz w:val="28"/>
          <w:szCs w:val="28"/>
          <w:u w:val="single"/>
        </w:rPr>
      </w:pPr>
      <w:r w:rsidRPr="006E06A1">
        <w:rPr>
          <w:rFonts w:ascii="Lucida Bright" w:hAnsi="Lucida Bright"/>
          <w:b/>
          <w:bCs/>
          <w:sz w:val="28"/>
          <w:szCs w:val="28"/>
          <w:u w:val="single"/>
        </w:rPr>
        <w:t>Conclusion</w:t>
      </w:r>
    </w:p>
    <w:p w:rsidR="00DE192A" w:rsidRPr="006E06A1" w:rsidRDefault="00DE192A" w:rsidP="008535C1">
      <w:pPr>
        <w:spacing w:line="360" w:lineRule="auto"/>
        <w:jc w:val="both"/>
        <w:rPr>
          <w:rFonts w:ascii="Lucida Bright" w:hAnsi="Lucida Bright"/>
          <w:sz w:val="28"/>
          <w:szCs w:val="28"/>
        </w:rPr>
      </w:pPr>
      <w:r w:rsidRPr="006E06A1">
        <w:rPr>
          <w:rFonts w:ascii="Lucida Bright" w:hAnsi="Lucida Bright"/>
          <w:sz w:val="28"/>
          <w:szCs w:val="28"/>
        </w:rPr>
        <w:t xml:space="preserve">Judges are often criticized for being too conservative in their approach to socio-economic rights cases and not making strong orders against governments to meet their obligations. However, judges face difficulties in navigating between traditional government </w:t>
      </w:r>
      <w:r w:rsidRPr="006E06A1">
        <w:rPr>
          <w:rFonts w:ascii="Lucida Bright" w:hAnsi="Lucida Bright"/>
          <w:sz w:val="28"/>
          <w:szCs w:val="28"/>
        </w:rPr>
        <w:lastRenderedPageBreak/>
        <w:t>domains and the principle of separation of powers. The application of the minimum core standard is usually avoided, as courts can easily overstep the boundary and enter policy-making. In Nigeria, restrictive judicial attitudes, narrow constructions of standing, stringent procedures, and corruption limit the effectiveness of Nigerian courts in adjudicating socio-economic rights claims. However, courts can be valuable avenues and catalysts for realizing fundamental rights, such as the right to health, through their interpretation and vindication of state obligations in specific cases. A comparative and reflective approach would generate new options and possibilities in a given jurisdiction, taking the right to health beyond rhetoric and towards the practical success of health rights in the African continent.</w:t>
      </w:r>
    </w:p>
    <w:p w:rsidR="00DE192A" w:rsidRPr="006E06A1" w:rsidRDefault="00DE192A" w:rsidP="008535C1">
      <w:pPr>
        <w:spacing w:line="360" w:lineRule="auto"/>
        <w:jc w:val="both"/>
        <w:rPr>
          <w:rFonts w:ascii="Lucida Bright" w:hAnsi="Lucida Bright"/>
          <w:sz w:val="28"/>
          <w:szCs w:val="28"/>
        </w:rPr>
      </w:pPr>
    </w:p>
    <w:p w:rsidR="00DE192A" w:rsidRPr="006E06A1" w:rsidRDefault="00DE192A" w:rsidP="008535C1">
      <w:pPr>
        <w:spacing w:line="360" w:lineRule="auto"/>
        <w:jc w:val="both"/>
        <w:rPr>
          <w:rFonts w:ascii="Lucida Bright" w:hAnsi="Lucida Bright"/>
          <w:sz w:val="28"/>
          <w:szCs w:val="28"/>
        </w:rPr>
      </w:pPr>
    </w:p>
    <w:p w:rsidR="00DE192A" w:rsidRPr="006E06A1" w:rsidRDefault="00DE192A" w:rsidP="008535C1">
      <w:pPr>
        <w:spacing w:line="360" w:lineRule="auto"/>
        <w:jc w:val="both"/>
        <w:rPr>
          <w:rFonts w:ascii="Lucida Bright" w:hAnsi="Lucida Bright"/>
          <w:i/>
          <w:iCs/>
          <w:sz w:val="28"/>
          <w:szCs w:val="28"/>
        </w:rPr>
      </w:pPr>
      <w:r w:rsidRPr="006E06A1">
        <w:rPr>
          <w:rFonts w:ascii="Lucida Bright" w:hAnsi="Lucida Bright"/>
          <w:i/>
          <w:iCs/>
          <w:sz w:val="28"/>
          <w:szCs w:val="28"/>
        </w:rPr>
        <w:t>Thank You for Listening</w:t>
      </w:r>
      <w:r w:rsidR="00BC62BA" w:rsidRPr="006E06A1">
        <w:rPr>
          <w:rFonts w:ascii="Lucida Bright" w:hAnsi="Lucida Bright"/>
          <w:i/>
          <w:iCs/>
          <w:sz w:val="28"/>
          <w:szCs w:val="28"/>
        </w:rPr>
        <w:t>.</w:t>
      </w: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6E06A1" w:rsidRDefault="0001397C" w:rsidP="008535C1">
      <w:pPr>
        <w:spacing w:line="360" w:lineRule="auto"/>
        <w:jc w:val="both"/>
        <w:rPr>
          <w:rFonts w:ascii="Lucida Bright" w:hAnsi="Lucida Bright"/>
          <w:i/>
          <w:iCs/>
          <w:sz w:val="28"/>
          <w:szCs w:val="28"/>
        </w:rPr>
      </w:pPr>
    </w:p>
    <w:p w:rsidR="0001397C" w:rsidRPr="00F45651" w:rsidRDefault="0001397C" w:rsidP="008535C1">
      <w:pPr>
        <w:spacing w:line="360" w:lineRule="auto"/>
        <w:jc w:val="both"/>
        <w:rPr>
          <w:rFonts w:ascii="Lucida Bright" w:hAnsi="Lucida Bright"/>
          <w:b/>
          <w:bCs/>
          <w:sz w:val="32"/>
          <w:szCs w:val="32"/>
        </w:rPr>
      </w:pPr>
      <w:r w:rsidRPr="00F45651">
        <w:rPr>
          <w:rFonts w:ascii="Lucida Bright" w:hAnsi="Lucida Bright"/>
          <w:b/>
          <w:bCs/>
          <w:sz w:val="32"/>
          <w:szCs w:val="32"/>
        </w:rPr>
        <w:lastRenderedPageBreak/>
        <w:t>JUSTICIABILITY OF RIGHT TO HEALTH UNDER THE NIGERIAN LEGAL REGIME</w:t>
      </w:r>
      <w:r w:rsidR="0028601B" w:rsidRPr="00F45651">
        <w:rPr>
          <w:rFonts w:ascii="Lucida Bright" w:hAnsi="Lucida Bright"/>
          <w:b/>
          <w:bCs/>
          <w:sz w:val="32"/>
          <w:szCs w:val="32"/>
        </w:rPr>
        <w:t>.</w:t>
      </w:r>
    </w:p>
    <w:p w:rsidR="0001397C" w:rsidRPr="006E06A1" w:rsidRDefault="0001397C" w:rsidP="008535C1">
      <w:pPr>
        <w:spacing w:line="360" w:lineRule="auto"/>
        <w:jc w:val="both"/>
        <w:rPr>
          <w:rFonts w:ascii="Lucida Bright" w:hAnsi="Lucida Bright"/>
          <w:b/>
          <w:bCs/>
          <w:sz w:val="28"/>
          <w:szCs w:val="28"/>
        </w:rPr>
      </w:pPr>
      <w:r w:rsidRPr="006E06A1">
        <w:rPr>
          <w:rFonts w:ascii="Lucida Bright" w:hAnsi="Lucida Bright"/>
          <w:b/>
          <w:bCs/>
          <w:sz w:val="28"/>
          <w:szCs w:val="28"/>
        </w:rPr>
        <w:t xml:space="preserve">                                                </w:t>
      </w:r>
    </w:p>
    <w:p w:rsidR="0028601B" w:rsidRPr="006E06A1" w:rsidRDefault="0028601B" w:rsidP="008535C1">
      <w:pPr>
        <w:spacing w:line="360" w:lineRule="auto"/>
        <w:jc w:val="both"/>
        <w:rPr>
          <w:rFonts w:ascii="Lucida Bright" w:hAnsi="Lucida Bright"/>
          <w:b/>
          <w:bCs/>
          <w:sz w:val="28"/>
          <w:szCs w:val="28"/>
        </w:rPr>
      </w:pPr>
    </w:p>
    <w:p w:rsidR="0001397C" w:rsidRPr="006E06A1" w:rsidRDefault="0001397C" w:rsidP="008535C1">
      <w:pPr>
        <w:spacing w:line="360" w:lineRule="auto"/>
        <w:jc w:val="both"/>
        <w:rPr>
          <w:rFonts w:ascii="Lucida Bright" w:hAnsi="Lucida Bright"/>
          <w:b/>
          <w:bCs/>
          <w:sz w:val="28"/>
          <w:szCs w:val="28"/>
        </w:rPr>
      </w:pPr>
    </w:p>
    <w:p w:rsidR="0001397C" w:rsidRPr="00F45651" w:rsidRDefault="0001397C" w:rsidP="008535C1">
      <w:pPr>
        <w:spacing w:line="360" w:lineRule="auto"/>
        <w:ind w:left="3600" w:firstLine="720"/>
        <w:jc w:val="both"/>
        <w:rPr>
          <w:rFonts w:ascii="Lucida Bright" w:hAnsi="Lucida Bright"/>
          <w:b/>
          <w:bCs/>
          <w:sz w:val="36"/>
          <w:szCs w:val="36"/>
        </w:rPr>
      </w:pPr>
      <w:r w:rsidRPr="00F45651">
        <w:rPr>
          <w:rFonts w:ascii="Lucida Bright" w:hAnsi="Lucida Bright"/>
          <w:b/>
          <w:bCs/>
          <w:sz w:val="36"/>
          <w:szCs w:val="36"/>
        </w:rPr>
        <w:t>BY</w:t>
      </w:r>
    </w:p>
    <w:p w:rsidR="0001397C" w:rsidRPr="00F45651" w:rsidRDefault="0001397C" w:rsidP="008535C1">
      <w:pPr>
        <w:spacing w:line="360" w:lineRule="auto"/>
        <w:ind w:left="3600" w:firstLine="720"/>
        <w:jc w:val="both"/>
        <w:rPr>
          <w:rFonts w:ascii="Lucida Bright" w:hAnsi="Lucida Bright"/>
          <w:b/>
          <w:bCs/>
          <w:sz w:val="36"/>
          <w:szCs w:val="36"/>
        </w:rPr>
      </w:pPr>
    </w:p>
    <w:p w:rsidR="0028601B" w:rsidRPr="00F45651" w:rsidRDefault="0028601B" w:rsidP="008535C1">
      <w:pPr>
        <w:spacing w:line="360" w:lineRule="auto"/>
        <w:ind w:left="3600" w:firstLine="720"/>
        <w:jc w:val="both"/>
        <w:rPr>
          <w:rFonts w:ascii="Lucida Bright" w:hAnsi="Lucida Bright"/>
          <w:b/>
          <w:bCs/>
          <w:sz w:val="36"/>
          <w:szCs w:val="36"/>
        </w:rPr>
      </w:pPr>
    </w:p>
    <w:p w:rsidR="0001397C" w:rsidRPr="00F45651" w:rsidRDefault="0001397C" w:rsidP="008535C1">
      <w:pPr>
        <w:spacing w:line="360" w:lineRule="auto"/>
        <w:ind w:left="3600" w:firstLine="720"/>
        <w:jc w:val="both"/>
        <w:rPr>
          <w:rFonts w:ascii="Lucida Bright" w:hAnsi="Lucida Bright"/>
          <w:b/>
          <w:bCs/>
          <w:sz w:val="36"/>
          <w:szCs w:val="36"/>
        </w:rPr>
      </w:pPr>
    </w:p>
    <w:p w:rsidR="0001397C" w:rsidRDefault="00F45651" w:rsidP="00F45651">
      <w:pPr>
        <w:spacing w:line="240" w:lineRule="auto"/>
        <w:jc w:val="both"/>
        <w:rPr>
          <w:rFonts w:ascii="Lucida Bright" w:hAnsi="Lucida Bright"/>
          <w:b/>
          <w:bCs/>
          <w:sz w:val="36"/>
          <w:szCs w:val="36"/>
        </w:rPr>
      </w:pPr>
      <w:r>
        <w:rPr>
          <w:rFonts w:ascii="Lucida Bright" w:hAnsi="Lucida Bright"/>
          <w:b/>
          <w:bCs/>
          <w:sz w:val="36"/>
          <w:szCs w:val="36"/>
        </w:rPr>
        <w:t xml:space="preserve">   </w:t>
      </w:r>
      <w:r>
        <w:rPr>
          <w:rFonts w:ascii="Lucida Bright" w:hAnsi="Lucida Bright"/>
          <w:b/>
          <w:bCs/>
          <w:sz w:val="36"/>
          <w:szCs w:val="36"/>
        </w:rPr>
        <w:tab/>
        <w:t xml:space="preserve">    </w:t>
      </w:r>
      <w:r w:rsidR="0028601B" w:rsidRPr="00F45651">
        <w:rPr>
          <w:rFonts w:ascii="Lucida Bright" w:hAnsi="Lucida Bright"/>
          <w:b/>
          <w:bCs/>
          <w:sz w:val="36"/>
          <w:szCs w:val="36"/>
        </w:rPr>
        <w:t>HON</w:t>
      </w:r>
      <w:r w:rsidR="0001397C" w:rsidRPr="00F45651">
        <w:rPr>
          <w:rFonts w:ascii="Lucida Bright" w:hAnsi="Lucida Bright"/>
          <w:b/>
          <w:bCs/>
          <w:sz w:val="36"/>
          <w:szCs w:val="36"/>
        </w:rPr>
        <w:t xml:space="preserve">. </w:t>
      </w:r>
      <w:r w:rsidR="0028601B" w:rsidRPr="00F45651">
        <w:rPr>
          <w:rFonts w:ascii="Lucida Bright" w:hAnsi="Lucida Bright"/>
          <w:b/>
          <w:bCs/>
          <w:sz w:val="36"/>
          <w:szCs w:val="36"/>
        </w:rPr>
        <w:t>JUSTICE AUWAL YAU</w:t>
      </w:r>
      <w:r w:rsidR="0001397C" w:rsidRPr="00F45651">
        <w:rPr>
          <w:rFonts w:ascii="Lucida Bright" w:hAnsi="Lucida Bright"/>
          <w:b/>
          <w:bCs/>
          <w:sz w:val="36"/>
          <w:szCs w:val="36"/>
        </w:rPr>
        <w:t>, APD, LL.M</w:t>
      </w:r>
    </w:p>
    <w:p w:rsidR="00F45651" w:rsidRPr="00F45651" w:rsidRDefault="00F45651" w:rsidP="00F45651">
      <w:pPr>
        <w:spacing w:line="240" w:lineRule="auto"/>
        <w:jc w:val="both"/>
        <w:rPr>
          <w:rFonts w:ascii="Lucida Bright" w:hAnsi="Lucida Bright"/>
          <w:b/>
          <w:bCs/>
          <w:sz w:val="36"/>
          <w:szCs w:val="36"/>
        </w:rPr>
      </w:pPr>
      <w:r>
        <w:rPr>
          <w:rFonts w:ascii="Lucida Bright" w:hAnsi="Lucida Bright"/>
          <w:b/>
          <w:bCs/>
          <w:sz w:val="36"/>
          <w:szCs w:val="36"/>
        </w:rPr>
        <w:t xml:space="preserve">             (High Court of Justice, </w:t>
      </w:r>
      <w:proofErr w:type="spellStart"/>
      <w:r>
        <w:rPr>
          <w:rFonts w:ascii="Lucida Bright" w:hAnsi="Lucida Bright"/>
          <w:b/>
          <w:bCs/>
          <w:sz w:val="36"/>
          <w:szCs w:val="36"/>
        </w:rPr>
        <w:t>Jigawa</w:t>
      </w:r>
      <w:proofErr w:type="spellEnd"/>
      <w:r>
        <w:rPr>
          <w:rFonts w:ascii="Lucida Bright" w:hAnsi="Lucida Bright"/>
          <w:b/>
          <w:bCs/>
          <w:sz w:val="36"/>
          <w:szCs w:val="36"/>
        </w:rPr>
        <w:t xml:space="preserve"> State.)</w:t>
      </w:r>
    </w:p>
    <w:p w:rsidR="0001397C" w:rsidRPr="006E06A1" w:rsidRDefault="0001397C" w:rsidP="008535C1">
      <w:pPr>
        <w:spacing w:line="360" w:lineRule="auto"/>
        <w:jc w:val="both"/>
        <w:rPr>
          <w:rFonts w:ascii="Lucida Bright" w:hAnsi="Lucida Bright"/>
          <w:b/>
          <w:bCs/>
          <w:sz w:val="28"/>
          <w:szCs w:val="28"/>
        </w:rPr>
      </w:pPr>
    </w:p>
    <w:p w:rsidR="0001397C" w:rsidRPr="006E06A1" w:rsidRDefault="0001397C" w:rsidP="008535C1">
      <w:pPr>
        <w:spacing w:line="360" w:lineRule="auto"/>
        <w:jc w:val="both"/>
        <w:rPr>
          <w:rFonts w:ascii="Lucida Bright" w:hAnsi="Lucida Bright"/>
          <w:b/>
          <w:bCs/>
          <w:sz w:val="28"/>
          <w:szCs w:val="28"/>
        </w:rPr>
      </w:pPr>
    </w:p>
    <w:p w:rsidR="0028601B" w:rsidRDefault="0028601B" w:rsidP="008535C1">
      <w:pPr>
        <w:spacing w:line="360" w:lineRule="auto"/>
        <w:jc w:val="both"/>
        <w:rPr>
          <w:rFonts w:ascii="Lucida Bright" w:hAnsi="Lucida Bright"/>
          <w:b/>
          <w:bCs/>
          <w:sz w:val="28"/>
          <w:szCs w:val="28"/>
        </w:rPr>
      </w:pPr>
    </w:p>
    <w:p w:rsidR="00F45651" w:rsidRPr="006E06A1" w:rsidRDefault="00F45651" w:rsidP="008535C1">
      <w:pPr>
        <w:spacing w:line="360" w:lineRule="auto"/>
        <w:jc w:val="both"/>
        <w:rPr>
          <w:rFonts w:ascii="Lucida Bright" w:hAnsi="Lucida Bright"/>
          <w:b/>
          <w:bCs/>
          <w:sz w:val="28"/>
          <w:szCs w:val="28"/>
        </w:rPr>
      </w:pPr>
    </w:p>
    <w:p w:rsidR="0001397C" w:rsidRPr="00F45651" w:rsidRDefault="0001397C" w:rsidP="008535C1">
      <w:pPr>
        <w:spacing w:line="360" w:lineRule="auto"/>
        <w:jc w:val="both"/>
        <w:rPr>
          <w:rFonts w:ascii="Lucida Bright" w:hAnsi="Lucida Bright"/>
          <w:b/>
          <w:bCs/>
          <w:sz w:val="32"/>
          <w:szCs w:val="32"/>
        </w:rPr>
      </w:pPr>
      <w:r w:rsidRPr="00F45651">
        <w:rPr>
          <w:rFonts w:ascii="Lucida Bright" w:hAnsi="Lucida Bright"/>
          <w:b/>
          <w:bCs/>
          <w:sz w:val="32"/>
          <w:szCs w:val="32"/>
        </w:rPr>
        <w:t>BEING A PAPER PRESENTED AT FIDA KANO 2023 LAW WEEK, WITH THE THEME: “IT STARTS WITH US: WOMEN, CHILDREN AND THE LAW” HELD AT MEENA EVENT CENTRE, NO. 6 LODGE ROAD, KANO, ON 24</w:t>
      </w:r>
      <w:r w:rsidRPr="00F45651">
        <w:rPr>
          <w:rFonts w:ascii="Lucida Bright" w:hAnsi="Lucida Bright"/>
          <w:b/>
          <w:bCs/>
          <w:sz w:val="32"/>
          <w:szCs w:val="32"/>
          <w:vertAlign w:val="superscript"/>
        </w:rPr>
        <w:t>TH</w:t>
      </w:r>
      <w:r w:rsidRPr="00F45651">
        <w:rPr>
          <w:rFonts w:ascii="Lucida Bright" w:hAnsi="Lucida Bright"/>
          <w:b/>
          <w:bCs/>
          <w:sz w:val="32"/>
          <w:szCs w:val="32"/>
        </w:rPr>
        <w:t xml:space="preserve"> JULY, 2023.</w:t>
      </w:r>
    </w:p>
    <w:sectPr w:rsidR="0001397C" w:rsidRPr="00F45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5B" w:rsidRDefault="00364A5B" w:rsidP="002F1005">
      <w:pPr>
        <w:spacing w:after="0" w:line="240" w:lineRule="auto"/>
      </w:pPr>
      <w:r>
        <w:separator/>
      </w:r>
    </w:p>
  </w:endnote>
  <w:endnote w:type="continuationSeparator" w:id="0">
    <w:p w:rsidR="00364A5B" w:rsidRDefault="00364A5B" w:rsidP="002F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imesNewRomanPS-BoldMT-SC700">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toneSerifStd-MediumItalic">
    <w:panose1 w:val="00000000000000000000"/>
    <w:charset w:val="00"/>
    <w:family w:val="auto"/>
    <w:notTrueType/>
    <w:pitch w:val="default"/>
    <w:sig w:usb0="00000003" w:usb1="00000000" w:usb2="00000000" w:usb3="00000000" w:csb0="00000001" w:csb1="00000000"/>
  </w:font>
  <w:font w:name="StoneSerifStd-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5B" w:rsidRDefault="00364A5B" w:rsidP="002F1005">
      <w:pPr>
        <w:spacing w:after="0" w:line="240" w:lineRule="auto"/>
      </w:pPr>
      <w:r>
        <w:separator/>
      </w:r>
    </w:p>
  </w:footnote>
  <w:footnote w:type="continuationSeparator" w:id="0">
    <w:p w:rsidR="00364A5B" w:rsidRDefault="00364A5B" w:rsidP="002F1005">
      <w:pPr>
        <w:spacing w:after="0" w:line="240" w:lineRule="auto"/>
      </w:pPr>
      <w:r>
        <w:continuationSeparator/>
      </w:r>
    </w:p>
  </w:footnote>
  <w:footnote w:id="1">
    <w:p w:rsidR="006B42B9" w:rsidRDefault="006B42B9">
      <w:pPr>
        <w:pStyle w:val="FootnoteText"/>
      </w:pPr>
      <w:r>
        <w:rPr>
          <w:rStyle w:val="FootnoteReference"/>
        </w:rPr>
        <w:footnoteRef/>
      </w:r>
      <w:r>
        <w:t xml:space="preserve"> High Court Judge No. 10, High Court of Justice, </w:t>
      </w:r>
      <w:proofErr w:type="spellStart"/>
      <w:r>
        <w:t>Jigawa</w:t>
      </w:r>
      <w:proofErr w:type="spellEnd"/>
      <w:r>
        <w:t xml:space="preserve"> State of Nigeria.</w:t>
      </w:r>
    </w:p>
  </w:footnote>
  <w:footnote w:id="2">
    <w:p w:rsidR="002F1005" w:rsidRDefault="002F1005">
      <w:pPr>
        <w:pStyle w:val="FootnoteText"/>
      </w:pPr>
      <w:r>
        <w:rPr>
          <w:rStyle w:val="FootnoteReference"/>
        </w:rPr>
        <w:footnoteRef/>
      </w:r>
      <w:r>
        <w:t xml:space="preserve"> Ch. II and IV</w:t>
      </w:r>
      <w:r w:rsidR="00BC62BA">
        <w:t xml:space="preserve"> of the Constitution of the Federal Republic of Nigeria 1999 (as Amended)</w:t>
      </w:r>
      <w:r w:rsidR="0028601B">
        <w:t>. The former captioned those rights as “Fundamental Objectives and Directive Principles of State Police”; and the later captioned as “Fundamental Human Rights”.</w:t>
      </w:r>
    </w:p>
  </w:footnote>
  <w:footnote w:id="3">
    <w:p w:rsidR="002F1005" w:rsidRDefault="002F1005">
      <w:pPr>
        <w:pStyle w:val="FootnoteText"/>
      </w:pPr>
      <w:r>
        <w:rPr>
          <w:rStyle w:val="FootnoteReference"/>
        </w:rPr>
        <w:footnoteRef/>
      </w:r>
      <w:r>
        <w:t xml:space="preserve"> Section 17 (3) (a) and (b) of the Constitution of the Federal Republic of Nigeria 1999 (as amended)</w:t>
      </w:r>
    </w:p>
  </w:footnote>
  <w:footnote w:id="4">
    <w:p w:rsidR="002F1005" w:rsidRDefault="002F1005" w:rsidP="002F1005">
      <w:pPr>
        <w:pStyle w:val="FootnoteText"/>
      </w:pPr>
      <w:r>
        <w:rPr>
          <w:rStyle w:val="FootnoteReference"/>
        </w:rPr>
        <w:footnoteRef/>
      </w:r>
      <w:r>
        <w:t xml:space="preserve"> Section 17 (3) (d) of the Constitution of the Federal Republic of Nigeria 1999 (as amended)</w:t>
      </w:r>
    </w:p>
  </w:footnote>
  <w:footnote w:id="5">
    <w:p w:rsidR="002F1005" w:rsidRDefault="002F1005" w:rsidP="002F1005">
      <w:pPr>
        <w:pStyle w:val="FootnoteText"/>
      </w:pPr>
      <w:r>
        <w:rPr>
          <w:rStyle w:val="FootnoteReference"/>
        </w:rPr>
        <w:footnoteRef/>
      </w:r>
      <w:r>
        <w:t xml:space="preserve"> Section 17 (3) (g) of the Constitution of the Federal Republic of Nigeria 1999 (as amended)</w:t>
      </w:r>
    </w:p>
  </w:footnote>
  <w:footnote w:id="6">
    <w:p w:rsidR="002F1005" w:rsidRDefault="002F1005" w:rsidP="002F1005">
      <w:pPr>
        <w:pStyle w:val="FootnoteText"/>
      </w:pPr>
      <w:r>
        <w:rPr>
          <w:rStyle w:val="FootnoteReference"/>
        </w:rPr>
        <w:footnoteRef/>
      </w:r>
      <w:r>
        <w:t xml:space="preserve"> Section 18 of the Constitution of the Federal Republic of Nigeria 1999 (as amended)</w:t>
      </w:r>
    </w:p>
  </w:footnote>
  <w:footnote w:id="7">
    <w:p w:rsidR="002F1005" w:rsidRDefault="002F1005" w:rsidP="00584508">
      <w:pPr>
        <w:pStyle w:val="FootnoteText"/>
      </w:pPr>
      <w:r>
        <w:rPr>
          <w:rStyle w:val="FootnoteReference"/>
        </w:rPr>
        <w:footnoteRef/>
      </w:r>
      <w:r>
        <w:t xml:space="preserve"> Section 20 of the Constitution of the Federal Republic of Nigeria 1999 (as amended)</w:t>
      </w:r>
    </w:p>
  </w:footnote>
  <w:footnote w:id="8">
    <w:p w:rsidR="00584508" w:rsidRDefault="00584508">
      <w:pPr>
        <w:pStyle w:val="FootnoteText"/>
      </w:pPr>
      <w:r>
        <w:rPr>
          <w:rStyle w:val="FootnoteReference"/>
        </w:rPr>
        <w:footnoteRef/>
      </w:r>
      <w:r>
        <w:t xml:space="preserve"> Archbishop </w:t>
      </w:r>
      <w:proofErr w:type="spellStart"/>
      <w:r>
        <w:t>Olubunmi</w:t>
      </w:r>
      <w:proofErr w:type="spellEnd"/>
      <w:r>
        <w:t xml:space="preserve"> </w:t>
      </w:r>
      <w:proofErr w:type="spellStart"/>
      <w:r>
        <w:t>Okogie</w:t>
      </w:r>
      <w:proofErr w:type="spellEnd"/>
      <w:r>
        <w:t xml:space="preserve"> (Trustee of Roman Catholic Schools) and Others </w:t>
      </w:r>
      <w:proofErr w:type="gramStart"/>
      <w:r>
        <w:t>v.</w:t>
      </w:r>
      <w:proofErr w:type="gramEnd"/>
      <w:r>
        <w:t xml:space="preserve"> Attorney-</w:t>
      </w:r>
      <w:proofErr w:type="spellStart"/>
      <w:r>
        <w:t>Genaral</w:t>
      </w:r>
      <w:proofErr w:type="spellEnd"/>
      <w:r>
        <w:t xml:space="preserve"> of Lagos state (1981) 2 NCLR 337 at 350.</w:t>
      </w:r>
    </w:p>
  </w:footnote>
  <w:footnote w:id="9">
    <w:p w:rsidR="009A215B" w:rsidRDefault="009A215B">
      <w:pPr>
        <w:pStyle w:val="FootnoteText"/>
      </w:pPr>
      <w:r>
        <w:rPr>
          <w:rStyle w:val="FootnoteReference"/>
        </w:rPr>
        <w:footnoteRef/>
      </w:r>
      <w:r>
        <w:t xml:space="preserve"> (2005) 51 WRN 52</w:t>
      </w:r>
    </w:p>
  </w:footnote>
  <w:footnote w:id="10">
    <w:p w:rsidR="009C18CC" w:rsidRDefault="009C18CC">
      <w:pPr>
        <w:pStyle w:val="FootnoteText"/>
      </w:pPr>
      <w:r>
        <w:rPr>
          <w:rStyle w:val="FootnoteReference"/>
        </w:rPr>
        <w:footnoteRef/>
      </w:r>
      <w:r>
        <w:t xml:space="preserve"> (2000) 6 NWLR (Pt. 660) 228</w:t>
      </w:r>
    </w:p>
  </w:footnote>
  <w:footnote w:id="11">
    <w:p w:rsidR="009C18CC" w:rsidRDefault="009C18CC">
      <w:pPr>
        <w:pStyle w:val="FootnoteText"/>
      </w:pPr>
      <w:r>
        <w:rPr>
          <w:rStyle w:val="FootnoteReference"/>
        </w:rPr>
        <w:footnoteRef/>
      </w:r>
      <w:r>
        <w:t xml:space="preserve"> (1994) 1 LRC 376</w:t>
      </w:r>
    </w:p>
  </w:footnote>
  <w:footnote w:id="12">
    <w:p w:rsidR="009C18CC" w:rsidRDefault="009C18CC">
      <w:pPr>
        <w:pStyle w:val="FootnoteText"/>
      </w:pPr>
      <w:r>
        <w:rPr>
          <w:rStyle w:val="FootnoteReference"/>
        </w:rPr>
        <w:footnoteRef/>
      </w:r>
      <w:r>
        <w:t xml:space="preserve"> (2002) 9 NWLR (Pt. 772) 222 at 382</w:t>
      </w:r>
    </w:p>
  </w:footnote>
  <w:footnote w:id="13">
    <w:p w:rsidR="00DE6D74" w:rsidRPr="00DE6D74" w:rsidRDefault="00DE6D74" w:rsidP="00DE6D74">
      <w:pPr>
        <w:autoSpaceDE w:val="0"/>
        <w:autoSpaceDN w:val="0"/>
        <w:adjustRightInd w:val="0"/>
        <w:spacing w:after="0" w:line="240" w:lineRule="auto"/>
        <w:jc w:val="both"/>
        <w:rPr>
          <w:rFonts w:ascii="StoneSerifStd-MediumItalic" w:hAnsi="StoneSerifStd-MediumItalic" w:cs="StoneSerifStd-MediumItalic"/>
          <w:i/>
          <w:iCs/>
          <w:sz w:val="16"/>
          <w:szCs w:val="16"/>
        </w:rPr>
      </w:pPr>
      <w:r>
        <w:rPr>
          <w:rStyle w:val="FootnoteReference"/>
        </w:rPr>
        <w:footnoteRef/>
      </w:r>
      <w:r>
        <w:t xml:space="preserve"> </w:t>
      </w:r>
      <w:r>
        <w:rPr>
          <w:rFonts w:ascii="StoneSerifStd-MediumItalic" w:hAnsi="StoneSerifStd-MediumItalic" w:cs="StoneSerifStd-MediumItalic"/>
          <w:i/>
          <w:iCs/>
          <w:sz w:val="16"/>
          <w:szCs w:val="16"/>
        </w:rPr>
        <w:t>Social and Economic Rights Action Centre (SERAC) and the Centre for Economic</w:t>
      </w:r>
      <w:r>
        <w:rPr>
          <w:rFonts w:ascii="StoneSerifStd-MediumItalic" w:hAnsi="StoneSerifStd-MediumItalic" w:cs="StoneSerifStd-MediumItalic"/>
          <w:i/>
          <w:iCs/>
          <w:sz w:val="16"/>
          <w:szCs w:val="16"/>
        </w:rPr>
        <w:t xml:space="preserve"> </w:t>
      </w:r>
      <w:r>
        <w:rPr>
          <w:rFonts w:ascii="StoneSerifStd-MediumItalic" w:hAnsi="StoneSerifStd-MediumItalic" w:cs="StoneSerifStd-MediumItalic"/>
          <w:i/>
          <w:iCs/>
          <w:sz w:val="16"/>
          <w:szCs w:val="16"/>
        </w:rPr>
        <w:t>and Social Rights (CESCR) v Nigeria</w:t>
      </w:r>
      <w:r>
        <w:rPr>
          <w:rFonts w:ascii="StoneSerifStd-Medium" w:hAnsi="StoneSerifStd-Medium" w:cs="StoneSerifStd-Medium"/>
          <w:sz w:val="16"/>
          <w:szCs w:val="16"/>
        </w:rPr>
        <w:t>, Communication 155/96. This case involved</w:t>
      </w:r>
      <w:r>
        <w:rPr>
          <w:rFonts w:ascii="StoneSerifStd-MediumItalic" w:hAnsi="StoneSerifStd-MediumItalic" w:cs="StoneSerifStd-MediumItalic"/>
          <w:i/>
          <w:iCs/>
          <w:sz w:val="16"/>
          <w:szCs w:val="16"/>
        </w:rPr>
        <w:t xml:space="preserve"> </w:t>
      </w:r>
      <w:r>
        <w:rPr>
          <w:rFonts w:ascii="StoneSerifStd-Medium" w:hAnsi="StoneSerifStd-Medium" w:cs="StoneSerifStd-Medium"/>
          <w:sz w:val="16"/>
          <w:szCs w:val="16"/>
        </w:rPr>
        <w:t>alleged violations resulting from the oil-</w:t>
      </w:r>
      <w:r>
        <w:rPr>
          <w:rFonts w:ascii="StoneSerifStd-Medium" w:hAnsi="StoneSerifStd-Medium" w:cs="StoneSerifStd-Medium"/>
          <w:sz w:val="16"/>
          <w:szCs w:val="16"/>
        </w:rPr>
        <w:t>f</w:t>
      </w:r>
      <w:r>
        <w:rPr>
          <w:rFonts w:ascii="StoneSerifStd-Medium" w:hAnsi="StoneSerifStd-Medium" w:cs="StoneSerifStd-Medium"/>
          <w:sz w:val="16"/>
          <w:szCs w:val="16"/>
        </w:rPr>
        <w:t>ield operations of the state owned</w:t>
      </w:r>
      <w:r>
        <w:rPr>
          <w:rFonts w:ascii="StoneSerifStd-MediumItalic" w:hAnsi="StoneSerifStd-MediumItalic" w:cs="StoneSerifStd-MediumItalic"/>
          <w:i/>
          <w:iCs/>
          <w:sz w:val="16"/>
          <w:szCs w:val="16"/>
        </w:rPr>
        <w:t xml:space="preserve"> </w:t>
      </w:r>
      <w:r>
        <w:rPr>
          <w:rFonts w:ascii="StoneSerifStd-Medium" w:hAnsi="StoneSerifStd-Medium" w:cs="StoneSerifStd-Medium"/>
          <w:sz w:val="16"/>
          <w:szCs w:val="16"/>
        </w:rPr>
        <w:t>Nigerian National Petroleum Corporation (NNPC) and its joint-venture partner,</w:t>
      </w:r>
      <w:r>
        <w:rPr>
          <w:rFonts w:ascii="StoneSerifStd-Medium" w:hAnsi="StoneSerifStd-Medium" w:cs="StoneSerifStd-Medium"/>
          <w:sz w:val="16"/>
          <w:szCs w:val="16"/>
        </w:rPr>
        <w:t xml:space="preserve"> </w:t>
      </w:r>
      <w:r>
        <w:rPr>
          <w:rFonts w:ascii="StoneSerifStd-Medium" w:hAnsi="StoneSerifStd-Medium" w:cs="StoneSerifStd-Medium"/>
          <w:sz w:val="16"/>
          <w:szCs w:val="16"/>
        </w:rPr>
        <w:t>Shell Petroleum Development Corporation (SPDC).</w:t>
      </w:r>
    </w:p>
  </w:footnote>
  <w:footnote w:id="14">
    <w:p w:rsidR="00EB0ABC" w:rsidRPr="00EB0ABC" w:rsidRDefault="00EB0ABC" w:rsidP="00EB0ABC">
      <w:pPr>
        <w:autoSpaceDE w:val="0"/>
        <w:autoSpaceDN w:val="0"/>
        <w:adjustRightInd w:val="0"/>
        <w:spacing w:after="0" w:line="240" w:lineRule="auto"/>
        <w:rPr>
          <w:rFonts w:ascii="StoneSerifStd-Medium" w:hAnsi="StoneSerifStd-Medium" w:cs="StoneSerifStd-Medium"/>
          <w:sz w:val="16"/>
          <w:szCs w:val="16"/>
        </w:rPr>
      </w:pPr>
      <w:r>
        <w:rPr>
          <w:rStyle w:val="FootnoteReference"/>
        </w:rPr>
        <w:footnoteRef/>
      </w:r>
      <w:r>
        <w:t xml:space="preserve"> </w:t>
      </w:r>
      <w:r>
        <w:rPr>
          <w:rFonts w:ascii="StoneSerifStd-Medium" w:hAnsi="StoneSerifStd-Medium" w:cs="StoneSerifStd-Medium"/>
          <w:sz w:val="16"/>
          <w:szCs w:val="16"/>
        </w:rPr>
        <w:t xml:space="preserve">Christopher </w:t>
      </w:r>
      <w:proofErr w:type="spellStart"/>
      <w:r>
        <w:rPr>
          <w:rFonts w:ascii="StoneSerifStd-Medium" w:hAnsi="StoneSerifStd-Medium" w:cs="StoneSerifStd-Medium"/>
          <w:sz w:val="16"/>
          <w:szCs w:val="16"/>
        </w:rPr>
        <w:t>Mbazira</w:t>
      </w:r>
      <w:proofErr w:type="spellEnd"/>
      <w:r>
        <w:rPr>
          <w:rFonts w:ascii="StoneSerifStd-Medium" w:hAnsi="StoneSerifStd-Medium" w:cs="StoneSerifStd-Medium"/>
          <w:sz w:val="16"/>
          <w:szCs w:val="16"/>
        </w:rPr>
        <w:t>, ‘The Right to Health a</w:t>
      </w:r>
      <w:r>
        <w:rPr>
          <w:rFonts w:ascii="StoneSerifStd-Medium" w:hAnsi="StoneSerifStd-Medium" w:cs="StoneSerifStd-Medium"/>
          <w:sz w:val="16"/>
          <w:szCs w:val="16"/>
        </w:rPr>
        <w:t xml:space="preserve">nd the Nature of Socio-Economic </w:t>
      </w:r>
      <w:r>
        <w:rPr>
          <w:rFonts w:ascii="StoneSerifStd-Medium" w:hAnsi="StoneSerifStd-Medium" w:cs="StoneSerifStd-Medium"/>
          <w:sz w:val="16"/>
          <w:szCs w:val="16"/>
        </w:rPr>
        <w:t xml:space="preserve">Rights Obligations under the African Charter: The </w:t>
      </w:r>
      <w:proofErr w:type="spellStart"/>
      <w:r>
        <w:rPr>
          <w:rFonts w:ascii="StoneSerifStd-Medium" w:hAnsi="StoneSerifStd-Medium" w:cs="StoneSerifStd-Medium"/>
          <w:sz w:val="16"/>
          <w:szCs w:val="16"/>
        </w:rPr>
        <w:t>Purohit</w:t>
      </w:r>
      <w:proofErr w:type="spellEnd"/>
      <w:r>
        <w:rPr>
          <w:rFonts w:ascii="StoneSerifStd-Medium" w:hAnsi="StoneSerifStd-Medium" w:cs="StoneSerifStd-Medium"/>
          <w:sz w:val="16"/>
          <w:szCs w:val="16"/>
        </w:rPr>
        <w:t xml:space="preserve"> Case’ (2005) 6(4) </w:t>
      </w:r>
      <w:r>
        <w:rPr>
          <w:rFonts w:ascii="StoneSerifStd-MediumItalic" w:hAnsi="StoneSerifStd-MediumItalic" w:cs="StoneSerifStd-MediumItalic"/>
          <w:i/>
          <w:iCs/>
          <w:sz w:val="16"/>
          <w:szCs w:val="16"/>
        </w:rPr>
        <w:t>ESR</w:t>
      </w:r>
      <w:r>
        <w:rPr>
          <w:rFonts w:ascii="StoneSerifStd-MediumItalic" w:hAnsi="StoneSerifStd-MediumItalic" w:cs="StoneSerifStd-MediumItalic"/>
          <w:i/>
          <w:iCs/>
          <w:sz w:val="16"/>
          <w:szCs w:val="16"/>
        </w:rPr>
        <w:t xml:space="preserve"> </w:t>
      </w:r>
      <w:r>
        <w:rPr>
          <w:rFonts w:ascii="StoneSerifStd-MediumItalic" w:hAnsi="StoneSerifStd-MediumItalic" w:cs="StoneSerifStd-MediumItalic"/>
          <w:i/>
          <w:iCs/>
          <w:sz w:val="16"/>
          <w:szCs w:val="16"/>
        </w:rPr>
        <w:t xml:space="preserve">Review </w:t>
      </w:r>
      <w:r>
        <w:rPr>
          <w:rFonts w:ascii="StoneSerifStd-Medium" w:hAnsi="StoneSerifStd-Medium" w:cs="StoneSerifStd-Medium"/>
          <w:sz w:val="16"/>
          <w:szCs w:val="16"/>
        </w:rPr>
        <w:t>15.</w:t>
      </w:r>
    </w:p>
  </w:footnote>
  <w:footnote w:id="15">
    <w:p w:rsidR="00D8772A" w:rsidRDefault="00D8772A">
      <w:pPr>
        <w:pStyle w:val="FootnoteText"/>
      </w:pPr>
      <w:r>
        <w:rPr>
          <w:rStyle w:val="FootnoteReference"/>
        </w:rPr>
        <w:footnoteRef/>
      </w:r>
      <w:r>
        <w:t xml:space="preserve"> Ibid</w:t>
      </w:r>
    </w:p>
  </w:footnote>
  <w:footnote w:id="16">
    <w:p w:rsidR="00155E95" w:rsidRPr="00513D53" w:rsidRDefault="00155E95" w:rsidP="006E06A1">
      <w:pPr>
        <w:autoSpaceDE w:val="0"/>
        <w:autoSpaceDN w:val="0"/>
        <w:adjustRightInd w:val="0"/>
        <w:spacing w:after="0" w:line="240" w:lineRule="auto"/>
        <w:jc w:val="both"/>
        <w:rPr>
          <w:rFonts w:ascii="StoneSerifStd-Medium" w:hAnsi="StoneSerifStd-Medium" w:cs="StoneSerifStd-Medium"/>
          <w:sz w:val="16"/>
          <w:szCs w:val="16"/>
        </w:rPr>
      </w:pPr>
      <w:r>
        <w:rPr>
          <w:rStyle w:val="FootnoteReference"/>
        </w:rPr>
        <w:footnoteRef/>
      </w:r>
      <w:r>
        <w:t xml:space="preserve"> </w:t>
      </w:r>
      <w:proofErr w:type="spellStart"/>
      <w:r>
        <w:rPr>
          <w:rFonts w:ascii="StoneSerifStd-Medium" w:hAnsi="StoneSerifStd-Medium" w:cs="StoneSerifStd-Medium"/>
          <w:sz w:val="16"/>
          <w:szCs w:val="16"/>
        </w:rPr>
        <w:t>Cheluchi</w:t>
      </w:r>
      <w:proofErr w:type="spellEnd"/>
      <w:r>
        <w:rPr>
          <w:rFonts w:ascii="StoneSerifStd-Medium" w:hAnsi="StoneSerifStd-Medium" w:cs="StoneSerifStd-Medium"/>
          <w:sz w:val="16"/>
          <w:szCs w:val="16"/>
        </w:rPr>
        <w:t xml:space="preserve"> </w:t>
      </w:r>
      <w:proofErr w:type="spellStart"/>
      <w:r>
        <w:rPr>
          <w:rFonts w:ascii="StoneSerifStd-Medium" w:hAnsi="StoneSerifStd-Medium" w:cs="StoneSerifStd-Medium"/>
          <w:sz w:val="16"/>
          <w:szCs w:val="16"/>
        </w:rPr>
        <w:t>Onyemelukwe</w:t>
      </w:r>
      <w:proofErr w:type="spellEnd"/>
      <w:r>
        <w:rPr>
          <w:rFonts w:ascii="StoneSerifStd-Medium" w:hAnsi="StoneSerifStd-Medium" w:cs="StoneSerifStd-Medium"/>
          <w:sz w:val="16"/>
          <w:szCs w:val="16"/>
        </w:rPr>
        <w:t>, ‘Access to Anti-Retrovi</w:t>
      </w:r>
      <w:r>
        <w:rPr>
          <w:rFonts w:ascii="StoneSerifStd-Medium" w:hAnsi="StoneSerifStd-Medium" w:cs="StoneSerifStd-Medium"/>
          <w:sz w:val="16"/>
          <w:szCs w:val="16"/>
        </w:rPr>
        <w:t xml:space="preserve">ral Drugs as a Component of the </w:t>
      </w:r>
      <w:r>
        <w:rPr>
          <w:rFonts w:ascii="StoneSerifStd-Medium" w:hAnsi="StoneSerifStd-Medium" w:cs="StoneSerifStd-Medium"/>
          <w:sz w:val="16"/>
          <w:szCs w:val="16"/>
        </w:rPr>
        <w:t xml:space="preserve">Right to Health in International Law: Examining </w:t>
      </w:r>
      <w:r>
        <w:rPr>
          <w:rFonts w:ascii="StoneSerifStd-Medium" w:hAnsi="StoneSerifStd-Medium" w:cs="StoneSerifStd-Medium"/>
          <w:sz w:val="16"/>
          <w:szCs w:val="16"/>
        </w:rPr>
        <w:t xml:space="preserve">the Application of the Right in </w:t>
      </w:r>
      <w:r>
        <w:rPr>
          <w:rFonts w:ascii="StoneSerifStd-Medium" w:hAnsi="StoneSerifStd-Medium" w:cs="StoneSerifStd-Medium"/>
          <w:sz w:val="16"/>
          <w:szCs w:val="16"/>
        </w:rPr>
        <w:t xml:space="preserve">Nigerian Jurisprudence’ (2007) 7(2) </w:t>
      </w:r>
      <w:r>
        <w:rPr>
          <w:rFonts w:ascii="StoneSerifStd-MediumItalic" w:hAnsi="StoneSerifStd-MediumItalic" w:cs="StoneSerifStd-MediumItalic"/>
          <w:i/>
          <w:iCs/>
          <w:sz w:val="16"/>
          <w:szCs w:val="16"/>
        </w:rPr>
        <w:t xml:space="preserve">African Human Rights Law Journal </w:t>
      </w:r>
      <w:r w:rsidR="00513D53">
        <w:rPr>
          <w:rFonts w:ascii="StoneSerifStd-Medium" w:hAnsi="StoneSerifStd-Medium" w:cs="StoneSerifStd-Medium"/>
          <w:sz w:val="16"/>
          <w:szCs w:val="16"/>
        </w:rPr>
        <w:t>446.</w:t>
      </w:r>
    </w:p>
  </w:footnote>
  <w:footnote w:id="17">
    <w:p w:rsidR="00155E95" w:rsidRPr="006E06A1" w:rsidRDefault="00155E95" w:rsidP="006E06A1">
      <w:pPr>
        <w:autoSpaceDE w:val="0"/>
        <w:autoSpaceDN w:val="0"/>
        <w:adjustRightInd w:val="0"/>
        <w:spacing w:after="0" w:line="240" w:lineRule="auto"/>
        <w:rPr>
          <w:rFonts w:ascii="StoneSerifStd-Medium" w:hAnsi="StoneSerifStd-Medium" w:cs="StoneSerifStd-Medium"/>
          <w:sz w:val="16"/>
          <w:szCs w:val="16"/>
        </w:rPr>
      </w:pPr>
      <w:r>
        <w:rPr>
          <w:rStyle w:val="FootnoteReference"/>
        </w:rPr>
        <w:footnoteRef/>
      </w:r>
      <w:r>
        <w:t xml:space="preserve"> </w:t>
      </w:r>
      <w:r w:rsidR="00513D53">
        <w:rPr>
          <w:rFonts w:ascii="StoneSerifStd-MediumItalic" w:hAnsi="StoneSerifStd-MediumItalic" w:cs="StoneSerifStd-MediumItalic"/>
          <w:i/>
          <w:iCs/>
          <w:sz w:val="16"/>
          <w:szCs w:val="16"/>
        </w:rPr>
        <w:t xml:space="preserve">Festus </w:t>
      </w:r>
      <w:proofErr w:type="spellStart"/>
      <w:r w:rsidR="00513D53">
        <w:rPr>
          <w:rFonts w:ascii="StoneSerifStd-MediumItalic" w:hAnsi="StoneSerifStd-MediumItalic" w:cs="StoneSerifStd-MediumItalic"/>
          <w:i/>
          <w:iCs/>
          <w:sz w:val="16"/>
          <w:szCs w:val="16"/>
        </w:rPr>
        <w:t>Odafe</w:t>
      </w:r>
      <w:proofErr w:type="spellEnd"/>
      <w:r w:rsidR="00513D53">
        <w:rPr>
          <w:rFonts w:ascii="StoneSerifStd-MediumItalic" w:hAnsi="StoneSerifStd-MediumItalic" w:cs="StoneSerifStd-MediumItalic"/>
          <w:i/>
          <w:iCs/>
          <w:sz w:val="16"/>
          <w:szCs w:val="16"/>
        </w:rPr>
        <w:t xml:space="preserve"> and Others </w:t>
      </w:r>
      <w:proofErr w:type="gramStart"/>
      <w:r w:rsidR="00513D53">
        <w:rPr>
          <w:rFonts w:ascii="StoneSerifStd-MediumItalic" w:hAnsi="StoneSerifStd-MediumItalic" w:cs="StoneSerifStd-MediumItalic"/>
          <w:i/>
          <w:iCs/>
          <w:sz w:val="16"/>
          <w:szCs w:val="16"/>
        </w:rPr>
        <w:t>v</w:t>
      </w:r>
      <w:proofErr w:type="gramEnd"/>
      <w:r w:rsidR="00513D53">
        <w:rPr>
          <w:rFonts w:ascii="StoneSerifStd-MediumItalic" w:hAnsi="StoneSerifStd-MediumItalic" w:cs="StoneSerifStd-MediumItalic"/>
          <w:i/>
          <w:iCs/>
          <w:sz w:val="16"/>
          <w:szCs w:val="16"/>
        </w:rPr>
        <w:t xml:space="preserve"> Attorney General of the Federation and Others</w:t>
      </w:r>
      <w:r w:rsidR="00513D53">
        <w:rPr>
          <w:rFonts w:ascii="StoneSerifStd-Medium" w:hAnsi="StoneSerifStd-Medium" w:cs="StoneSerifStd-Medium"/>
          <w:sz w:val="16"/>
          <w:szCs w:val="16"/>
        </w:rPr>
        <w:t xml:space="preserve">, Unreported </w:t>
      </w:r>
      <w:r w:rsidR="00513D53">
        <w:rPr>
          <w:rFonts w:ascii="StoneSerifStd-Medium" w:hAnsi="StoneSerifStd-Medium" w:cs="StoneSerifStd-Medium"/>
          <w:sz w:val="16"/>
          <w:szCs w:val="16"/>
        </w:rPr>
        <w:t xml:space="preserve">Suit No FHC/PH/CS/680/2003, Judgment of </w:t>
      </w:r>
      <w:proofErr w:type="spellStart"/>
      <w:r w:rsidR="00513D53">
        <w:rPr>
          <w:rFonts w:ascii="StoneSerifStd-Medium" w:hAnsi="StoneSerifStd-Medium" w:cs="StoneSerifStd-Medium"/>
          <w:sz w:val="16"/>
          <w:szCs w:val="16"/>
        </w:rPr>
        <w:t>Honourable</w:t>
      </w:r>
      <w:proofErr w:type="spellEnd"/>
      <w:r w:rsidR="00513D53">
        <w:rPr>
          <w:rFonts w:ascii="StoneSerifStd-Medium" w:hAnsi="StoneSerifStd-Medium" w:cs="StoneSerifStd-Medium"/>
          <w:sz w:val="16"/>
          <w:szCs w:val="16"/>
        </w:rPr>
        <w:t xml:space="preserve"> Justice R.O Nwodo, 23 </w:t>
      </w:r>
      <w:r w:rsidR="006E06A1">
        <w:rPr>
          <w:rFonts w:ascii="StoneSerifStd-Medium" w:hAnsi="StoneSerifStd-Medium" w:cs="StoneSerifStd-Medium"/>
          <w:sz w:val="16"/>
          <w:szCs w:val="16"/>
        </w:rPr>
        <w:t>February 2004.</w:t>
      </w:r>
    </w:p>
  </w:footnote>
  <w:footnote w:id="18">
    <w:p w:rsidR="006E06A1" w:rsidRDefault="006E06A1" w:rsidP="006E06A1">
      <w:pPr>
        <w:autoSpaceDE w:val="0"/>
        <w:autoSpaceDN w:val="0"/>
        <w:adjustRightInd w:val="0"/>
        <w:spacing w:after="0" w:line="240" w:lineRule="auto"/>
        <w:jc w:val="both"/>
        <w:rPr>
          <w:rFonts w:ascii="StoneSerifStd-Medium" w:hAnsi="StoneSerifStd-Medium" w:cs="StoneSerifStd-Medium"/>
          <w:sz w:val="16"/>
          <w:szCs w:val="16"/>
        </w:rPr>
      </w:pPr>
      <w:r>
        <w:rPr>
          <w:rStyle w:val="FootnoteReference"/>
        </w:rPr>
        <w:footnoteRef/>
      </w:r>
      <w:r>
        <w:t xml:space="preserve"> </w:t>
      </w:r>
      <w:r>
        <w:rPr>
          <w:rFonts w:ascii="StoneSerifStd-MediumItalic" w:hAnsi="StoneSerifStd-MediumItalic" w:cs="StoneSerifStd-MediumItalic"/>
          <w:i/>
          <w:iCs/>
          <w:sz w:val="16"/>
          <w:szCs w:val="16"/>
        </w:rPr>
        <w:t xml:space="preserve">Georgina </w:t>
      </w:r>
      <w:proofErr w:type="spellStart"/>
      <w:r>
        <w:rPr>
          <w:rFonts w:ascii="StoneSerifStd-MediumItalic" w:hAnsi="StoneSerifStd-MediumItalic" w:cs="StoneSerifStd-MediumItalic"/>
          <w:i/>
          <w:iCs/>
          <w:sz w:val="16"/>
          <w:szCs w:val="16"/>
        </w:rPr>
        <w:t>Ahamefule</w:t>
      </w:r>
      <w:proofErr w:type="spellEnd"/>
      <w:r>
        <w:rPr>
          <w:rFonts w:ascii="StoneSerifStd-MediumItalic" w:hAnsi="StoneSerifStd-MediumItalic" w:cs="StoneSerifStd-MediumItalic"/>
          <w:i/>
          <w:iCs/>
          <w:sz w:val="16"/>
          <w:szCs w:val="16"/>
        </w:rPr>
        <w:t xml:space="preserve"> v Imperial Medical Centre and </w:t>
      </w:r>
      <w:proofErr w:type="spellStart"/>
      <w:r>
        <w:rPr>
          <w:rFonts w:ascii="StoneSerifStd-MediumItalic" w:hAnsi="StoneSerifStd-MediumItalic" w:cs="StoneSerifStd-MediumItalic"/>
          <w:i/>
          <w:iCs/>
          <w:sz w:val="16"/>
          <w:szCs w:val="16"/>
        </w:rPr>
        <w:t>Dr</w:t>
      </w:r>
      <w:proofErr w:type="spellEnd"/>
      <w:r>
        <w:rPr>
          <w:rFonts w:ascii="StoneSerifStd-MediumItalic" w:hAnsi="StoneSerifStd-MediumItalic" w:cs="StoneSerifStd-MediumItalic"/>
          <w:i/>
          <w:iCs/>
          <w:sz w:val="16"/>
          <w:szCs w:val="16"/>
        </w:rPr>
        <w:t xml:space="preserve"> Alex </w:t>
      </w:r>
      <w:proofErr w:type="spellStart"/>
      <w:r>
        <w:rPr>
          <w:rFonts w:ascii="StoneSerifStd-MediumItalic" w:hAnsi="StoneSerifStd-MediumItalic" w:cs="StoneSerifStd-MediumItalic"/>
          <w:i/>
          <w:iCs/>
          <w:sz w:val="16"/>
          <w:szCs w:val="16"/>
        </w:rPr>
        <w:t>Molokwu</w:t>
      </w:r>
      <w:proofErr w:type="spellEnd"/>
      <w:r>
        <w:rPr>
          <w:rFonts w:ascii="StoneSerifStd-Medium" w:hAnsi="StoneSerifStd-Medium" w:cs="StoneSerifStd-Medium"/>
          <w:sz w:val="16"/>
          <w:szCs w:val="16"/>
        </w:rPr>
        <w:t xml:space="preserve">, Unreported, </w:t>
      </w:r>
      <w:r>
        <w:rPr>
          <w:rFonts w:ascii="StoneSerifStd-Medium" w:hAnsi="StoneSerifStd-Medium" w:cs="StoneSerifStd-Medium"/>
          <w:sz w:val="16"/>
          <w:szCs w:val="16"/>
        </w:rPr>
        <w:t xml:space="preserve">Suit No ID/1627/2000, Ruling of </w:t>
      </w:r>
      <w:proofErr w:type="spellStart"/>
      <w:r>
        <w:rPr>
          <w:rFonts w:ascii="StoneSerifStd-Medium" w:hAnsi="StoneSerifStd-Medium" w:cs="StoneSerifStd-Medium"/>
          <w:sz w:val="16"/>
          <w:szCs w:val="16"/>
        </w:rPr>
        <w:t>Honourable</w:t>
      </w:r>
      <w:proofErr w:type="spellEnd"/>
      <w:r>
        <w:rPr>
          <w:rFonts w:ascii="StoneSerifStd-Medium" w:hAnsi="StoneSerifStd-Medium" w:cs="StoneSerifStd-Medium"/>
          <w:sz w:val="16"/>
          <w:szCs w:val="16"/>
        </w:rPr>
        <w:t xml:space="preserve"> Just</w:t>
      </w:r>
      <w:r>
        <w:rPr>
          <w:rFonts w:ascii="StoneSerifStd-Medium" w:hAnsi="StoneSerifStd-Medium" w:cs="StoneSerifStd-Medium"/>
          <w:sz w:val="16"/>
          <w:szCs w:val="16"/>
        </w:rPr>
        <w:t xml:space="preserve">ice of the High Court to Lagos, </w:t>
      </w:r>
      <w:r>
        <w:rPr>
          <w:rFonts w:ascii="StoneSerifStd-Medium" w:hAnsi="StoneSerifStd-Medium" w:cs="StoneSerifStd-Medium"/>
          <w:sz w:val="16"/>
          <w:szCs w:val="16"/>
        </w:rPr>
        <w:t>5 February 2001;</w:t>
      </w:r>
      <w:r>
        <w:rPr>
          <w:rFonts w:ascii="StoneSerifStd-Medium" w:hAnsi="StoneSerifStd-Medium" w:cs="StoneSerifStd-Medium"/>
          <w:sz w:val="16"/>
          <w:szCs w:val="16"/>
        </w:rPr>
        <w:t xml:space="preserve"> </w:t>
      </w:r>
      <w:proofErr w:type="spellStart"/>
      <w:r>
        <w:rPr>
          <w:rFonts w:ascii="StoneSerifStd-Medium" w:hAnsi="StoneSerifStd-Medium" w:cs="StoneSerifStd-Medium"/>
          <w:sz w:val="16"/>
          <w:szCs w:val="16"/>
        </w:rPr>
        <w:t>Chidi</w:t>
      </w:r>
      <w:proofErr w:type="spellEnd"/>
      <w:r>
        <w:rPr>
          <w:rFonts w:ascii="StoneSerifStd-Medium" w:hAnsi="StoneSerifStd-Medium" w:cs="StoneSerifStd-Medium"/>
          <w:sz w:val="16"/>
          <w:szCs w:val="16"/>
        </w:rPr>
        <w:t xml:space="preserve"> A </w:t>
      </w:r>
      <w:proofErr w:type="spellStart"/>
      <w:r>
        <w:rPr>
          <w:rFonts w:ascii="StoneSerifStd-Medium" w:hAnsi="StoneSerifStd-Medium" w:cs="StoneSerifStd-Medium"/>
          <w:sz w:val="16"/>
          <w:szCs w:val="16"/>
        </w:rPr>
        <w:t>Odinkalu</w:t>
      </w:r>
      <w:proofErr w:type="spellEnd"/>
      <w:r>
        <w:rPr>
          <w:rFonts w:ascii="StoneSerifStd-Medium" w:hAnsi="StoneSerifStd-Medium" w:cs="StoneSerifStd-Medium"/>
          <w:sz w:val="16"/>
          <w:szCs w:val="16"/>
        </w:rPr>
        <w:t>, ‘The Impact of Economic and Social Rights in Nigeria: An</w:t>
      </w:r>
    </w:p>
    <w:p w:rsidR="006E06A1" w:rsidRDefault="006E06A1" w:rsidP="006E06A1">
      <w:pPr>
        <w:autoSpaceDE w:val="0"/>
        <w:autoSpaceDN w:val="0"/>
        <w:adjustRightInd w:val="0"/>
        <w:spacing w:after="0" w:line="240" w:lineRule="auto"/>
        <w:jc w:val="both"/>
        <w:rPr>
          <w:rFonts w:ascii="StoneSerifStd-Medium" w:hAnsi="StoneSerifStd-Medium" w:cs="StoneSerifStd-Medium"/>
          <w:sz w:val="16"/>
          <w:szCs w:val="16"/>
        </w:rPr>
      </w:pPr>
      <w:r>
        <w:rPr>
          <w:rFonts w:ascii="StoneSerifStd-Medium" w:hAnsi="StoneSerifStd-Medium" w:cs="StoneSerifStd-Medium"/>
          <w:sz w:val="16"/>
          <w:szCs w:val="16"/>
        </w:rPr>
        <w:t>Assessment of the Legal Framework for Imple</w:t>
      </w:r>
      <w:r>
        <w:rPr>
          <w:rFonts w:ascii="StoneSerifStd-Medium" w:hAnsi="StoneSerifStd-Medium" w:cs="StoneSerifStd-Medium"/>
          <w:sz w:val="16"/>
          <w:szCs w:val="16"/>
        </w:rPr>
        <w:t xml:space="preserve">menting Education and Health as </w:t>
      </w:r>
      <w:r>
        <w:rPr>
          <w:rFonts w:ascii="StoneSerifStd-Medium" w:hAnsi="StoneSerifStd-Medium" w:cs="StoneSerifStd-Medium"/>
          <w:sz w:val="16"/>
          <w:szCs w:val="16"/>
        </w:rPr>
        <w:t xml:space="preserve">Human Rights’ in V </w:t>
      </w:r>
      <w:proofErr w:type="spellStart"/>
      <w:r>
        <w:rPr>
          <w:rFonts w:ascii="StoneSerifStd-Medium" w:hAnsi="StoneSerifStd-Medium" w:cs="StoneSerifStd-Medium"/>
          <w:sz w:val="16"/>
          <w:szCs w:val="16"/>
        </w:rPr>
        <w:t>Gauri</w:t>
      </w:r>
      <w:proofErr w:type="spellEnd"/>
      <w:r>
        <w:rPr>
          <w:rFonts w:ascii="StoneSerifStd-Medium" w:hAnsi="StoneSerifStd-Medium" w:cs="StoneSerifStd-Medium"/>
          <w:sz w:val="16"/>
          <w:szCs w:val="16"/>
        </w:rPr>
        <w:t xml:space="preserve"> and DM Brinks (</w:t>
      </w:r>
      <w:proofErr w:type="spellStart"/>
      <w:r>
        <w:rPr>
          <w:rFonts w:ascii="StoneSerifStd-Medium" w:hAnsi="StoneSerifStd-Medium" w:cs="StoneSerifStd-Medium"/>
          <w:sz w:val="16"/>
          <w:szCs w:val="16"/>
        </w:rPr>
        <w:t>eds</w:t>
      </w:r>
      <w:proofErr w:type="spellEnd"/>
      <w:r>
        <w:rPr>
          <w:rFonts w:ascii="StoneSerifStd-Medium" w:hAnsi="StoneSerifStd-Medium" w:cs="StoneSerifStd-Medium"/>
          <w:sz w:val="16"/>
          <w:szCs w:val="16"/>
        </w:rPr>
        <w:t xml:space="preserve">), </w:t>
      </w:r>
      <w:r>
        <w:rPr>
          <w:rFonts w:ascii="StoneSerifStd-MediumItalic" w:hAnsi="StoneSerifStd-MediumItalic" w:cs="StoneSerifStd-MediumItalic"/>
          <w:i/>
          <w:iCs/>
          <w:sz w:val="16"/>
          <w:szCs w:val="16"/>
        </w:rPr>
        <w:t>Courting Social Justice: Judicial</w:t>
      </w:r>
      <w:r>
        <w:rPr>
          <w:rFonts w:ascii="StoneSerifStd-Medium" w:hAnsi="StoneSerifStd-Medium" w:cs="StoneSerifStd-Medium"/>
          <w:sz w:val="16"/>
          <w:szCs w:val="16"/>
        </w:rPr>
        <w:t xml:space="preserve"> </w:t>
      </w:r>
      <w:r>
        <w:rPr>
          <w:rFonts w:ascii="StoneSerifStd-MediumItalic" w:hAnsi="StoneSerifStd-MediumItalic" w:cs="StoneSerifStd-MediumItalic"/>
          <w:i/>
          <w:iCs/>
          <w:sz w:val="16"/>
          <w:szCs w:val="16"/>
        </w:rPr>
        <w:t xml:space="preserve">Enforcement of Social and Economic Rights in the Developing World </w:t>
      </w:r>
      <w:r>
        <w:rPr>
          <w:rFonts w:ascii="StoneSerifStd-Medium" w:hAnsi="StoneSerifStd-Medium" w:cs="StoneSerifStd-Medium"/>
          <w:sz w:val="16"/>
          <w:szCs w:val="16"/>
        </w:rPr>
        <w:t xml:space="preserve">(Cambridge </w:t>
      </w:r>
      <w:r>
        <w:rPr>
          <w:rFonts w:ascii="StoneSerifStd-Medium" w:hAnsi="StoneSerifStd-Medium" w:cs="StoneSerifStd-Medium"/>
          <w:sz w:val="16"/>
          <w:szCs w:val="16"/>
        </w:rPr>
        <w:t>University Press 2008) 187.</w:t>
      </w:r>
    </w:p>
    <w:p w:rsidR="006E06A1" w:rsidRPr="006E06A1" w:rsidRDefault="006E06A1" w:rsidP="006E06A1">
      <w:pPr>
        <w:autoSpaceDE w:val="0"/>
        <w:autoSpaceDN w:val="0"/>
        <w:adjustRightInd w:val="0"/>
        <w:spacing w:after="0" w:line="240" w:lineRule="auto"/>
        <w:rPr>
          <w:rFonts w:ascii="StoneSerifStd-Medium" w:hAnsi="StoneSerifStd-Medium" w:cs="StoneSerifStd-Medium"/>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AE"/>
    <w:rsid w:val="0001397C"/>
    <w:rsid w:val="001529AF"/>
    <w:rsid w:val="00155E95"/>
    <w:rsid w:val="00226177"/>
    <w:rsid w:val="0028601B"/>
    <w:rsid w:val="002F1005"/>
    <w:rsid w:val="0032051C"/>
    <w:rsid w:val="003273F9"/>
    <w:rsid w:val="00364A5B"/>
    <w:rsid w:val="003E725B"/>
    <w:rsid w:val="00443CFC"/>
    <w:rsid w:val="004F16A7"/>
    <w:rsid w:val="00513D53"/>
    <w:rsid w:val="00584508"/>
    <w:rsid w:val="00604E30"/>
    <w:rsid w:val="006B3713"/>
    <w:rsid w:val="006B42B9"/>
    <w:rsid w:val="006E06A1"/>
    <w:rsid w:val="007A2D9A"/>
    <w:rsid w:val="008535C1"/>
    <w:rsid w:val="00893A0D"/>
    <w:rsid w:val="008A3F56"/>
    <w:rsid w:val="008C0938"/>
    <w:rsid w:val="008E07F3"/>
    <w:rsid w:val="008E3CF1"/>
    <w:rsid w:val="009A215B"/>
    <w:rsid w:val="009B58F6"/>
    <w:rsid w:val="009C18CC"/>
    <w:rsid w:val="00A21689"/>
    <w:rsid w:val="00A722D2"/>
    <w:rsid w:val="00BB3FB7"/>
    <w:rsid w:val="00BC62BA"/>
    <w:rsid w:val="00C40542"/>
    <w:rsid w:val="00CB78F2"/>
    <w:rsid w:val="00CD0E40"/>
    <w:rsid w:val="00D0746E"/>
    <w:rsid w:val="00D303ED"/>
    <w:rsid w:val="00D8772A"/>
    <w:rsid w:val="00DE192A"/>
    <w:rsid w:val="00DE6D74"/>
    <w:rsid w:val="00EB0ABC"/>
    <w:rsid w:val="00ED23AB"/>
    <w:rsid w:val="00F45651"/>
    <w:rsid w:val="00F57D4F"/>
    <w:rsid w:val="00F835AE"/>
    <w:rsid w:val="00FF4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1C47"/>
  <w15:chartTrackingRefBased/>
  <w15:docId w15:val="{5C4C5505-29B2-4A11-90B8-7A059D26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005"/>
    <w:rPr>
      <w:sz w:val="20"/>
      <w:szCs w:val="20"/>
    </w:rPr>
  </w:style>
  <w:style w:type="character" w:styleId="FootnoteReference">
    <w:name w:val="footnote reference"/>
    <w:basedOn w:val="DefaultParagraphFont"/>
    <w:uiPriority w:val="99"/>
    <w:semiHidden/>
    <w:unhideWhenUsed/>
    <w:rsid w:val="002F1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0537-53AD-465C-AFD5-E178118E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2023-07-07T20:02:00Z</dcterms:created>
  <dcterms:modified xsi:type="dcterms:W3CDTF">2023-07-19T22:18:00Z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88725dc8-1e47-418c-ad50-2ec726223dcd</vt:lpwstr>
  </property>
</Properties>
</file>